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OBEC POTVOROV</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Zastupitelstvo obce POTVOROV</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Obecně závazná vyhláška obce č. 1/2023,</w:t>
      </w:r>
    </w:p>
    <w:p w:rsidR="00000000" w:rsidDel="00000000" w:rsidP="00000000" w:rsidRDefault="00000000" w:rsidRPr="00000000" w14:paraId="00000005">
      <w:pPr>
        <w:jc w:val="center"/>
        <w:rPr>
          <w:rFonts w:ascii="Arial" w:cs="Arial" w:eastAsia="Arial" w:hAnsi="Arial"/>
          <w:b w:val="1"/>
        </w:rPr>
      </w:pPr>
      <w:r w:rsidDel="00000000" w:rsidR="00000000" w:rsidRPr="00000000">
        <w:rPr>
          <w:rFonts w:ascii="Arial" w:cs="Arial" w:eastAsia="Arial" w:hAnsi="Arial"/>
          <w:b w:val="1"/>
          <w:rtl w:val="0"/>
        </w:rPr>
        <w:t xml:space="preserve">o místním poplatku za odkládání komunálního odpadu z nemovité věci</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77"/>
        </w:tabs>
        <w:spacing w:after="0" w:before="0" w:line="264"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77"/>
        </w:tabs>
        <w:spacing w:after="0" w:before="0" w:line="264"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Zastupitelstvo obce Potvorov se na svém zasedání dne 1</w:t>
      </w:r>
      <w:r w:rsidDel="00000000" w:rsidR="00000000" w:rsidRPr="00000000">
        <w:rPr>
          <w:rFonts w:ascii="Arial" w:cs="Arial" w:eastAsia="Arial" w:hAnsi="Arial"/>
          <w:sz w:val="22"/>
          <w:szCs w:val="22"/>
          <w:rtl w:val="0"/>
        </w:rPr>
        <w:t xml:space="preserve">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.1.202</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usnesením č.1 usneslo vydat na základě § 14 zákona č. 565/1990 Sb., o místních poplatcích, ve znění pozdějších předpisů (dále jen „zákon o místních poplatcích“), a v souladu s § 10 písm. d) </w:t>
        <w:br w:type="textWrapping"/>
        <w:t xml:space="preserve">a § 84 odst. 2 písm. h) zákona č. 128/2000 Sb., o obcích (obecní zřízení), ve znění pozdějších předpisů, tuto obecně závaznou vyhlášku (dále jen „tato vyhláška“): </w:t>
      </w:r>
    </w:p>
    <w:p w:rsidR="00000000" w:rsidDel="00000000" w:rsidP="00000000" w:rsidRDefault="00000000" w:rsidRPr="00000000" w14:paraId="00000008">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1</w:t>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Úvodní ustanovení</w:t>
      </w:r>
    </w:p>
    <w:p w:rsidR="00000000" w:rsidDel="00000000" w:rsidP="00000000" w:rsidRDefault="00000000" w:rsidRPr="00000000" w14:paraId="000000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64"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Obec Potvorov touto vyhláškou zavádí místní poplatek za odkládání komunálního odpadu z nemovité věci (dále jen „poplatek“).</w:t>
      </w:r>
    </w:p>
    <w:p w:rsidR="00000000" w:rsidDel="00000000" w:rsidP="00000000" w:rsidRDefault="00000000" w:rsidRPr="00000000" w14:paraId="0000000B">
      <w:pPr>
        <w:numPr>
          <w:ilvl w:val="0"/>
          <w:numId w:val="8"/>
        </w:numPr>
        <w:spacing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Správcem poplatku je obecní úřad Potvorov.</w:t>
      </w:r>
      <w:r w:rsidDel="00000000" w:rsidR="00000000" w:rsidRPr="00000000">
        <w:rPr>
          <w:rFonts w:ascii="Arial" w:cs="Arial" w:eastAsia="Arial" w:hAnsi="Arial"/>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2</w:t>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Předmět poplatku, poplatník a plátce poplatku</w:t>
      </w:r>
    </w:p>
    <w:p w:rsidR="00000000" w:rsidDel="00000000" w:rsidP="00000000" w:rsidRDefault="00000000" w:rsidRPr="00000000" w14:paraId="0000000E">
      <w:pPr>
        <w:numPr>
          <w:ilvl w:val="0"/>
          <w:numId w:val="6"/>
        </w:numPr>
        <w:spacing w:after="60" w:before="120" w:line="264" w:lineRule="auto"/>
        <w:ind w:left="567" w:hanging="567"/>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Předmětem poplatku je odkládání směsného komunálního odpadu z jednotlivé nemovité věci zahrnující byt, rodinný dům nebo stavbu pro rodinnou rekreaci, která se nachází na území obce.</w:t>
      </w:r>
      <w:r w:rsidDel="00000000" w:rsidR="00000000" w:rsidRPr="00000000">
        <w:rPr>
          <w:rFonts w:ascii="Arial" w:cs="Arial" w:eastAsia="Arial" w:hAnsi="Arial"/>
          <w:color w:val="000000"/>
          <w:sz w:val="22"/>
          <w:szCs w:val="22"/>
          <w:vertAlign w:val="superscript"/>
        </w:rPr>
        <w:footnoteReference w:customMarkFollows="0" w:id="1"/>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0F">
      <w:pPr>
        <w:numPr>
          <w:ilvl w:val="0"/>
          <w:numId w:val="6"/>
        </w:numPr>
        <w:spacing w:after="60" w:before="120" w:line="264"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Poplatníkem poplatku je</w:t>
      </w:r>
      <w:r w:rsidDel="00000000" w:rsidR="00000000" w:rsidRPr="00000000">
        <w:rPr>
          <w:rFonts w:ascii="Arial" w:cs="Arial" w:eastAsia="Arial" w:hAnsi="Arial"/>
          <w:sz w:val="22"/>
          <w:szCs w:val="22"/>
          <w:vertAlign w:val="superscript"/>
        </w:rPr>
        <w:footnoteReference w:customMarkFollows="0" w:id="2"/>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53" w:before="0" w:line="240" w:lineRule="auto"/>
        <w:ind w:left="0" w:right="0" w:firstLine="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fyzická osoba, která má v nemovité věci bydliště, nebo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vlastník nemovité věci, ve které nemá bydliště žádná fyzická osoba. </w:t>
      </w:r>
    </w:p>
    <w:p w:rsidR="00000000" w:rsidDel="00000000" w:rsidP="00000000" w:rsidRDefault="00000000" w:rsidRPr="00000000" w14:paraId="00000012">
      <w:pPr>
        <w:numPr>
          <w:ilvl w:val="0"/>
          <w:numId w:val="6"/>
        </w:numPr>
        <w:spacing w:after="60" w:before="120" w:line="264" w:lineRule="auto"/>
        <w:ind w:left="567" w:hanging="567"/>
        <w:jc w:val="both"/>
        <w:rPr>
          <w:sz w:val="22"/>
          <w:szCs w:val="22"/>
        </w:rPr>
      </w:pPr>
      <w:r w:rsidDel="00000000" w:rsidR="00000000" w:rsidRPr="00000000">
        <w:rPr>
          <w:rFonts w:ascii="Arial" w:cs="Arial" w:eastAsia="Arial" w:hAnsi="Arial"/>
          <w:sz w:val="22"/>
          <w:szCs w:val="22"/>
          <w:rtl w:val="0"/>
        </w:rPr>
        <w:t xml:space="preserve">Plátcem poplatku je</w:t>
      </w:r>
      <w:r w:rsidDel="00000000" w:rsidR="00000000" w:rsidRPr="00000000">
        <w:rPr>
          <w:rFonts w:ascii="Arial" w:cs="Arial" w:eastAsia="Arial" w:hAnsi="Arial"/>
          <w:sz w:val="22"/>
          <w:szCs w:val="22"/>
          <w:vertAlign w:val="superscript"/>
        </w:rPr>
        <w:footnoteReference w:customMarkFollows="0" w:id="3"/>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53" w:before="0" w:line="240" w:lineRule="auto"/>
        <w:ind w:left="0" w:right="0" w:firstLine="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společenství vlastníků jednotek, pokud pro dům vzniklo, nebo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vlastník nemovité věci v ostatních případech. </w:t>
      </w:r>
    </w:p>
    <w:p w:rsidR="00000000" w:rsidDel="00000000" w:rsidP="00000000" w:rsidRDefault="00000000" w:rsidRPr="00000000" w14:paraId="00000015">
      <w:pPr>
        <w:numPr>
          <w:ilvl w:val="0"/>
          <w:numId w:val="6"/>
        </w:numPr>
        <w:spacing w:after="60" w:before="120" w:line="264" w:lineRule="auto"/>
        <w:ind w:left="567" w:hanging="567"/>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Plátce poplatku je povinen vybrat poplatek od poplatníka</w:t>
      </w:r>
      <w:r w:rsidDel="00000000" w:rsidR="00000000" w:rsidRPr="00000000">
        <w:rPr>
          <w:rFonts w:ascii="Arial" w:cs="Arial" w:eastAsia="Arial" w:hAnsi="Arial"/>
          <w:color w:val="000000"/>
          <w:sz w:val="22"/>
          <w:szCs w:val="22"/>
          <w:vertAlign w:val="superscript"/>
        </w:rPr>
        <w:footnoteReference w:customMarkFollows="0" w:id="4"/>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6">
      <w:pPr>
        <w:numPr>
          <w:ilvl w:val="0"/>
          <w:numId w:val="6"/>
        </w:numPr>
        <w:spacing w:after="60" w:before="120" w:line="264"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Spoluvlastníci nemovité věci zahrnující byt, rodinný dům nebo stavbu pro rodinnou rekreaci jsou povinni plnit poplatkovou povinnost společně a nerozdílně.</w:t>
      </w:r>
      <w:r w:rsidDel="00000000" w:rsidR="00000000" w:rsidRPr="00000000">
        <w:rPr>
          <w:rFonts w:ascii="Arial" w:cs="Arial" w:eastAsia="Arial" w:hAnsi="Arial"/>
          <w:sz w:val="22"/>
          <w:szCs w:val="22"/>
          <w:vertAlign w:val="superscript"/>
        </w:rPr>
        <w:footnoteReference w:customMarkFollows="0" w:id="5"/>
      </w:r>
      <w:r w:rsidDel="00000000" w:rsidR="00000000" w:rsidRPr="00000000">
        <w:rPr>
          <w:rtl w:val="0"/>
        </w:rPr>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4122" w:right="0" w:firstLine="126.0000000000002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3</w:t>
      </w:r>
    </w:p>
    <w:p w:rsidR="00000000" w:rsidDel="00000000" w:rsidP="00000000" w:rsidRDefault="00000000" w:rsidRPr="00000000" w14:paraId="00000018">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3477" w:right="0" w:firstLine="63.00000000000011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Poplatkové období</w:t>
      </w:r>
    </w:p>
    <w:p w:rsidR="00000000" w:rsidDel="00000000" w:rsidP="00000000" w:rsidRDefault="00000000" w:rsidRPr="00000000" w14:paraId="00000019">
      <w:pPr>
        <w:spacing w:before="120" w:line="312"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Poplatkovým obdobím poplatku je kalendářní rok.</w:t>
      </w:r>
      <w:r w:rsidDel="00000000" w:rsidR="00000000" w:rsidRPr="00000000">
        <w:rPr>
          <w:rFonts w:ascii="Arial" w:cs="Arial" w:eastAsia="Arial" w:hAnsi="Arial"/>
          <w:sz w:val="22"/>
          <w:szCs w:val="22"/>
          <w:vertAlign w:val="superscript"/>
        </w:rPr>
        <w:footnoteReference w:customMarkFollows="0" w:id="6"/>
      </w:r>
      <w:r w:rsidDel="00000000" w:rsidR="00000000" w:rsidRPr="00000000">
        <w:rPr>
          <w:rtl w:val="0"/>
        </w:rPr>
      </w:r>
    </w:p>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4</w:t>
      </w:r>
    </w:p>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Ohlašovací povinnost</w:t>
      </w:r>
    </w:p>
    <w:p w:rsidR="00000000" w:rsidDel="00000000" w:rsidP="00000000" w:rsidRDefault="00000000" w:rsidRPr="00000000" w14:paraId="0000001C">
      <w:pPr>
        <w:numPr>
          <w:ilvl w:val="0"/>
          <w:numId w:val="4"/>
        </w:numPr>
        <w:spacing w:before="120" w:line="312"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Plátce poplatku je povinen podat správci poplatku ohlášení nejpozději do 30  dnů ode dne, kdy nabyl postavení plátce poplatku. Pozbytí postavení plátce ohlásí plátce poplatku správci poplatku ve lhůtě 30 dnů.</w:t>
      </w:r>
    </w:p>
    <w:p w:rsidR="00000000" w:rsidDel="00000000" w:rsidP="00000000" w:rsidRDefault="00000000" w:rsidRPr="00000000" w14:paraId="0000001D">
      <w:pPr>
        <w:numPr>
          <w:ilvl w:val="0"/>
          <w:numId w:val="4"/>
        </w:numPr>
        <w:spacing w:before="120" w:line="312"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 ohlášení plátce poplatku uvede</w:t>
      </w:r>
      <w:r w:rsidDel="00000000" w:rsidR="00000000" w:rsidRPr="00000000">
        <w:rPr>
          <w:rFonts w:ascii="Arial" w:cs="Arial" w:eastAsia="Arial" w:hAnsi="Arial"/>
          <w:sz w:val="22"/>
          <w:szCs w:val="22"/>
          <w:vertAlign w:val="superscript"/>
        </w:rPr>
        <w:footnoteReference w:customMarkFollows="0" w:id="7"/>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E">
      <w:pPr>
        <w:numPr>
          <w:ilvl w:val="1"/>
          <w:numId w:val="4"/>
        </w:numPr>
        <w:spacing w:before="120" w:line="312" w:lineRule="auto"/>
        <w:ind w:left="1021" w:hanging="45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br w:type="textWrapping"/>
        <w:t xml:space="preserve">v poplatkových věcech,</w:t>
      </w:r>
    </w:p>
    <w:p w:rsidR="00000000" w:rsidDel="00000000" w:rsidP="00000000" w:rsidRDefault="00000000" w:rsidRPr="00000000" w14:paraId="0000001F">
      <w:pPr>
        <w:numPr>
          <w:ilvl w:val="1"/>
          <w:numId w:val="4"/>
        </w:numPr>
        <w:spacing w:before="120" w:line="312" w:lineRule="auto"/>
        <w:ind w:left="1021" w:hanging="45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čísla všech svých účtů u poskytovatelů platebních služeb, včetně poskytovatelů těchto služeb v zahraničí, užívaných v souvislosti s podnikatelskou činností, v případě, že předmět poplatku souvisí s podnikatelskou činností plátce,</w:t>
      </w:r>
    </w:p>
    <w:p w:rsidR="00000000" w:rsidDel="00000000" w:rsidP="00000000" w:rsidRDefault="00000000" w:rsidRPr="00000000" w14:paraId="00000020">
      <w:pPr>
        <w:numPr>
          <w:ilvl w:val="1"/>
          <w:numId w:val="4"/>
        </w:numPr>
        <w:spacing w:before="120" w:line="312" w:lineRule="auto"/>
        <w:ind w:left="1021" w:hanging="45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další údaje rozhodné pro stanovení poplatku, zejména identifikační údaje nemovité věci zahrnující byt, rodinný dům nebo stavbu pro rodinnou rekreaci podle katastru nemovitostí.</w:t>
      </w:r>
    </w:p>
    <w:p w:rsidR="00000000" w:rsidDel="00000000" w:rsidP="00000000" w:rsidRDefault="00000000" w:rsidRPr="00000000" w14:paraId="00000021">
      <w:pPr>
        <w:numPr>
          <w:ilvl w:val="0"/>
          <w:numId w:val="4"/>
        </w:numPr>
        <w:spacing w:before="120" w:line="312"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Plátce poplatku, který nemá sídlo nebo bydliště na území členského státu Evropské unie, jiného smluvního státu Dohody o Evropském hospodářském prostoru nebo Švýcarské konfederace, uvede také adresu svého zmocněnce v tuzemsku pro doručování.</w:t>
      </w:r>
      <w:r w:rsidDel="00000000" w:rsidR="00000000" w:rsidRPr="00000000">
        <w:rPr>
          <w:rFonts w:ascii="Arial" w:cs="Arial" w:eastAsia="Arial" w:hAnsi="Arial"/>
          <w:sz w:val="22"/>
          <w:szCs w:val="22"/>
          <w:vertAlign w:val="superscript"/>
        </w:rPr>
        <w:footnoteReference w:customMarkFollows="0" w:id="8"/>
      </w:r>
      <w:r w:rsidDel="00000000" w:rsidR="00000000" w:rsidRPr="00000000">
        <w:rPr>
          <w:rtl w:val="0"/>
        </w:rPr>
      </w:r>
    </w:p>
    <w:p w:rsidR="00000000" w:rsidDel="00000000" w:rsidP="00000000" w:rsidRDefault="00000000" w:rsidRPr="00000000" w14:paraId="00000022">
      <w:pPr>
        <w:numPr>
          <w:ilvl w:val="0"/>
          <w:numId w:val="4"/>
        </w:numPr>
        <w:spacing w:before="120" w:line="312"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Dojde-li ke změně údajů uvedených v ohlášení, je plátce povinen tuto změnu oznámit do 30 dnů ode dne, kdy nastala.</w:t>
      </w:r>
      <w:r w:rsidDel="00000000" w:rsidR="00000000" w:rsidRPr="00000000">
        <w:rPr>
          <w:rFonts w:ascii="Arial" w:cs="Arial" w:eastAsia="Arial" w:hAnsi="Arial"/>
          <w:sz w:val="22"/>
          <w:szCs w:val="22"/>
          <w:vertAlign w:val="superscript"/>
        </w:rPr>
        <w:footnoteReference w:customMarkFollows="0" w:id="9"/>
      </w:r>
      <w:r w:rsidDel="00000000" w:rsidR="00000000" w:rsidRPr="00000000">
        <w:rPr>
          <w:rtl w:val="0"/>
        </w:rPr>
      </w:r>
    </w:p>
    <w:p w:rsidR="00000000" w:rsidDel="00000000" w:rsidP="00000000" w:rsidRDefault="00000000" w:rsidRPr="00000000" w14:paraId="00000023">
      <w:pPr>
        <w:numPr>
          <w:ilvl w:val="0"/>
          <w:numId w:val="4"/>
        </w:numPr>
        <w:spacing w:before="120" w:line="312"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Del="00000000" w:rsidR="00000000" w:rsidRPr="00000000">
        <w:rPr>
          <w:rFonts w:ascii="Arial" w:cs="Arial" w:eastAsia="Arial" w:hAnsi="Arial"/>
          <w:sz w:val="22"/>
          <w:szCs w:val="22"/>
          <w:vertAlign w:val="superscript"/>
        </w:rPr>
        <w:footnoteReference w:customMarkFollows="0" w:id="10"/>
      </w:r>
      <w:r w:rsidDel="00000000" w:rsidR="00000000" w:rsidRPr="00000000">
        <w:rPr>
          <w:rtl w:val="0"/>
        </w:rPr>
      </w:r>
    </w:p>
    <w:p w:rsidR="00000000" w:rsidDel="00000000" w:rsidP="00000000" w:rsidRDefault="00000000" w:rsidRPr="00000000" w14:paraId="00000024">
      <w:pPr>
        <w:numPr>
          <w:ilvl w:val="0"/>
          <w:numId w:val="4"/>
        </w:numPr>
        <w:spacing w:before="120" w:line="312"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Není-li plátce, plní ohlašovací povinnost poplatník.</w:t>
      </w:r>
      <w:r w:rsidDel="00000000" w:rsidR="00000000" w:rsidRPr="00000000">
        <w:rPr>
          <w:rFonts w:ascii="Arial" w:cs="Arial" w:eastAsia="Arial" w:hAnsi="Arial"/>
          <w:sz w:val="22"/>
          <w:szCs w:val="22"/>
          <w:vertAlign w:val="superscript"/>
        </w:rPr>
        <w:footnoteReference w:customMarkFollows="0" w:id="11"/>
      </w:r>
      <w:r w:rsidDel="00000000" w:rsidR="00000000" w:rsidRPr="00000000">
        <w:rPr>
          <w:rtl w:val="0"/>
        </w:rPr>
      </w:r>
    </w:p>
    <w:p w:rsidR="00000000" w:rsidDel="00000000" w:rsidP="00000000" w:rsidRDefault="00000000" w:rsidRPr="00000000" w14:paraId="00000025">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0" w:right="0" w:firstLine="0"/>
        <w:jc w:val="center"/>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5</w:t>
      </w: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Základ poplatku</w:t>
      </w:r>
      <w:r w:rsidDel="00000000" w:rsidR="00000000" w:rsidRPr="00000000">
        <w:rPr>
          <w:rFonts w:ascii="Arial" w:cs="Arial" w:eastAsia="Arial" w:hAnsi="Arial"/>
          <w:b w:val="1"/>
          <w:i w:val="0"/>
          <w:smallCaps w:val="0"/>
          <w:strike w:val="0"/>
          <w:color w:val="000000"/>
          <w:sz w:val="24"/>
          <w:szCs w:val="24"/>
          <w:u w:val="none"/>
          <w:shd w:fill="auto" w:val="clear"/>
          <w:vertAlign w:val="superscript"/>
        </w:rPr>
        <w:footnoteReference w:customMarkFollows="0" w:id="12"/>
      </w:r>
      <w:r w:rsidDel="00000000" w:rsidR="00000000" w:rsidRPr="00000000">
        <w:rPr>
          <w:rtl w:val="0"/>
        </w:rPr>
      </w:r>
    </w:p>
    <w:p w:rsidR="00000000" w:rsidDel="00000000" w:rsidP="00000000" w:rsidRDefault="00000000" w:rsidRPr="00000000" w14:paraId="00000027">
      <w:pPr>
        <w:numPr>
          <w:ilvl w:val="0"/>
          <w:numId w:val="1"/>
        </w:numPr>
        <w:spacing w:after="60" w:before="120" w:line="264" w:lineRule="auto"/>
        <w:ind w:left="567" w:hanging="567"/>
        <w:jc w:val="both"/>
        <w:rPr>
          <w:rFonts w:ascii="Arial" w:cs="Arial" w:eastAsia="Arial" w:hAnsi="Arial"/>
          <w:i w:val="1"/>
          <w:color w:val="0070c0"/>
          <w:sz w:val="22"/>
          <w:szCs w:val="22"/>
        </w:rPr>
      </w:pPr>
      <w:r w:rsidDel="00000000" w:rsidR="00000000" w:rsidRPr="00000000">
        <w:rPr>
          <w:rFonts w:ascii="Arial" w:cs="Arial" w:eastAsia="Arial" w:hAnsi="Arial"/>
          <w:sz w:val="22"/>
          <w:szCs w:val="22"/>
          <w:rtl w:val="0"/>
        </w:rPr>
        <w:t xml:space="preserve">Základem dílčího poplatku je kapacita soustřeďovacích prostředků pro nemovitou věc na odpad za kalendářní měsíc v litrech připadající na poplatníka.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Objednanou kapacitou soustřeďovacích prostředků pro nemovitou věc na kalendářní měsíc připadající na poplatníka je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55" w:before="0" w:line="240" w:lineRule="auto"/>
        <w:ind w:left="5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podíl objednané kapacity soustřeďovacích prostředků pro tuto nemovitou věc na kalendářní měsíc a počtu fyzických osob, které v této nemovité věci mají bydliště na konci kalendářního měsíce, nebo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kapacita soustřeďovacích prostředků pro tuto nemovitou věc na kalendářní měsíc </w:t>
        <w:br w:type="textWrapping"/>
        <w:t xml:space="preserve">v případě, že v nemovité věci nemá bydliště žádná fyzická osoba. </w:t>
      </w:r>
    </w:p>
    <w:p w:rsidR="00000000" w:rsidDel="00000000" w:rsidP="00000000" w:rsidRDefault="00000000" w:rsidRPr="00000000" w14:paraId="0000002B">
      <w:pPr>
        <w:numPr>
          <w:ilvl w:val="0"/>
          <w:numId w:val="1"/>
        </w:numPr>
        <w:spacing w:after="60" w:before="120" w:line="264" w:lineRule="auto"/>
        <w:ind w:left="567" w:hanging="567"/>
        <w:jc w:val="both"/>
        <w:rPr>
          <w:rFonts w:ascii="Arial" w:cs="Arial" w:eastAsia="Arial" w:hAnsi="Arial"/>
          <w:i w:val="1"/>
          <w:color w:val="0070c0"/>
          <w:sz w:val="22"/>
          <w:szCs w:val="22"/>
        </w:rPr>
      </w:pPr>
      <w:r w:rsidDel="00000000" w:rsidR="00000000" w:rsidRPr="00000000">
        <w:rPr>
          <w:rFonts w:ascii="Arial" w:cs="Arial" w:eastAsia="Arial" w:hAnsi="Arial"/>
          <w:sz w:val="22"/>
          <w:szCs w:val="22"/>
          <w:rtl w:val="0"/>
        </w:rPr>
        <w:t xml:space="preserve">Minimální základ dílčího poplatku činí 45 l. </w:t>
      </w:r>
      <w:r w:rsidDel="00000000" w:rsidR="00000000" w:rsidRPr="00000000">
        <w:rPr>
          <w:rtl w:val="0"/>
        </w:rPr>
      </w:r>
    </w:p>
    <w:p w:rsidR="00000000" w:rsidDel="00000000" w:rsidP="00000000" w:rsidRDefault="00000000" w:rsidRPr="00000000" w14:paraId="0000002C">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6</w:t>
      </w:r>
    </w:p>
    <w:p w:rsidR="00000000" w:rsidDel="00000000" w:rsidP="00000000" w:rsidRDefault="00000000" w:rsidRPr="00000000" w14:paraId="0000002D">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Sazba poplatku</w:t>
      </w:r>
    </w:p>
    <w:p w:rsidR="00000000" w:rsidDel="00000000" w:rsidP="00000000" w:rsidRDefault="00000000" w:rsidRPr="00000000" w14:paraId="0000002E">
      <w:pPr>
        <w:spacing w:after="60" w:before="120" w:line="264" w:lineRule="auto"/>
        <w:ind w:left="567" w:firstLine="0"/>
        <w:jc w:val="both"/>
        <w:rPr>
          <w:rFonts w:ascii="Arial" w:cs="Arial" w:eastAsia="Arial" w:hAnsi="Arial"/>
          <w:i w:val="1"/>
          <w:color w:val="0070c0"/>
          <w:sz w:val="22"/>
          <w:szCs w:val="22"/>
        </w:rPr>
      </w:pPr>
      <w:r w:rsidDel="00000000" w:rsidR="00000000" w:rsidRPr="00000000">
        <w:rPr>
          <w:rtl w:val="0"/>
        </w:rPr>
      </w:r>
    </w:p>
    <w:p w:rsidR="00000000" w:rsidDel="00000000" w:rsidP="00000000" w:rsidRDefault="00000000" w:rsidRPr="00000000" w14:paraId="0000002F">
      <w:pPr>
        <w:spacing w:after="60" w:before="120" w:line="264" w:lineRule="auto"/>
        <w:ind w:left="567" w:firstLine="0"/>
        <w:jc w:val="both"/>
        <w:rPr>
          <w:rFonts w:ascii="Arial" w:cs="Arial" w:eastAsia="Arial" w:hAnsi="Arial"/>
          <w:sz w:val="22"/>
          <w:szCs w:val="22"/>
          <w:highlight w:val="white"/>
        </w:rPr>
      </w:pPr>
      <w:r w:rsidDel="00000000" w:rsidR="00000000" w:rsidRPr="00000000">
        <w:rPr>
          <w:rFonts w:ascii="Arial" w:cs="Arial" w:eastAsia="Arial" w:hAnsi="Arial"/>
          <w:i w:val="1"/>
          <w:color w:val="0070c0"/>
          <w:sz w:val="22"/>
          <w:szCs w:val="22"/>
          <w:rtl w:val="0"/>
        </w:rPr>
        <w:t xml:space="preserve"> </w:t>
      </w:r>
      <w:r w:rsidDel="00000000" w:rsidR="00000000" w:rsidRPr="00000000">
        <w:rPr>
          <w:rFonts w:ascii="Arial" w:cs="Arial" w:eastAsia="Arial" w:hAnsi="Arial"/>
          <w:sz w:val="22"/>
          <w:szCs w:val="22"/>
          <w:rtl w:val="0"/>
        </w:rPr>
        <w:t xml:space="preserve">Sazba poplatku činí </w:t>
      </w:r>
      <w:r w:rsidDel="00000000" w:rsidR="00000000" w:rsidRPr="00000000">
        <w:rPr>
          <w:rFonts w:ascii="Arial" w:cs="Arial" w:eastAsia="Arial" w:hAnsi="Arial"/>
          <w:sz w:val="22"/>
          <w:szCs w:val="22"/>
          <w:highlight w:val="white"/>
          <w:rtl w:val="0"/>
        </w:rPr>
        <w:t xml:space="preserve">0,60 Kč za l</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30">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7</w:t>
      </w:r>
    </w:p>
    <w:p w:rsidR="00000000" w:rsidDel="00000000" w:rsidP="00000000" w:rsidRDefault="00000000" w:rsidRPr="00000000" w14:paraId="00000031">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Výpočet poplatku</w:t>
      </w:r>
      <w:r w:rsidDel="00000000" w:rsidR="00000000" w:rsidRPr="00000000">
        <w:rPr>
          <w:rFonts w:ascii="Arial" w:cs="Arial" w:eastAsia="Arial" w:hAnsi="Arial"/>
          <w:b w:val="1"/>
          <w:i w:val="0"/>
          <w:smallCaps w:val="0"/>
          <w:strike w:val="0"/>
          <w:color w:val="000000"/>
          <w:sz w:val="24"/>
          <w:szCs w:val="24"/>
          <w:u w:val="none"/>
          <w:shd w:fill="auto" w:val="clear"/>
          <w:vertAlign w:val="superscript"/>
        </w:rPr>
        <w:footnoteReference w:customMarkFollows="0" w:id="13"/>
      </w:r>
      <w:r w:rsidDel="00000000" w:rsidR="00000000" w:rsidRPr="00000000">
        <w:rPr>
          <w:rtl w:val="0"/>
        </w:rPr>
      </w:r>
    </w:p>
    <w:p w:rsidR="00000000" w:rsidDel="00000000" w:rsidP="00000000" w:rsidRDefault="00000000" w:rsidRPr="00000000" w14:paraId="00000032">
      <w:pPr>
        <w:numPr>
          <w:ilvl w:val="0"/>
          <w:numId w:val="2"/>
        </w:numPr>
        <w:spacing w:after="60" w:before="120" w:line="264"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Poplatek se vypočte jako součet dílčích poplatků za jednotlivé kalendářní měsíce, na jejichž konci </w:t>
      </w:r>
    </w:p>
    <w:p w:rsidR="00000000" w:rsidDel="00000000" w:rsidP="00000000" w:rsidRDefault="00000000" w:rsidRPr="00000000" w14:paraId="00000033">
      <w:pPr>
        <w:spacing w:after="60" w:before="120" w:line="264"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měl poplatník v nemovité věci bydliště, nebo </w:t>
      </w:r>
    </w:p>
    <w:p w:rsidR="00000000" w:rsidDel="00000000" w:rsidP="00000000" w:rsidRDefault="00000000" w:rsidRPr="00000000" w14:paraId="00000034">
      <w:pPr>
        <w:spacing w:after="60" w:before="120" w:line="264"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neměla v nemovité věci bydliště žádná fyzická osoba v případě, že poplatníkem je vlastník této nemovité věci. </w:t>
      </w:r>
    </w:p>
    <w:p w:rsidR="00000000" w:rsidDel="00000000" w:rsidP="00000000" w:rsidRDefault="00000000" w:rsidRPr="00000000" w14:paraId="00000035">
      <w:pPr>
        <w:numPr>
          <w:ilvl w:val="0"/>
          <w:numId w:val="2"/>
        </w:numPr>
        <w:spacing w:after="60" w:before="120" w:line="264"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Dílčí poplatek za kalendářní měsíc se vypočte jako součin základu dílčího poplatku zaokrouhleného na celé litry nahoru a sazby pro tento základ. </w:t>
      </w:r>
    </w:p>
    <w:p w:rsidR="00000000" w:rsidDel="00000000" w:rsidP="00000000" w:rsidRDefault="00000000" w:rsidRPr="00000000" w14:paraId="00000036">
      <w:pPr>
        <w:spacing w:after="60" w:before="120" w:line="264"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8</w:t>
      </w:r>
    </w:p>
    <w:p w:rsidR="00000000" w:rsidDel="00000000" w:rsidP="00000000" w:rsidRDefault="00000000" w:rsidRPr="00000000" w14:paraId="00000038">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Splatnost poplatku</w:t>
      </w:r>
    </w:p>
    <w:p w:rsidR="00000000" w:rsidDel="00000000" w:rsidP="00000000" w:rsidRDefault="00000000" w:rsidRPr="00000000" w14:paraId="00000039">
      <w:pPr>
        <w:numPr>
          <w:ilvl w:val="0"/>
          <w:numId w:val="3"/>
        </w:numPr>
        <w:spacing w:after="60" w:before="120" w:line="264"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Plátce poplatku odvede vybraný poplatek správci poplatku nejpozději do 31.10. příslušného kalendářního roku. </w:t>
      </w:r>
    </w:p>
    <w:p w:rsidR="00000000" w:rsidDel="00000000" w:rsidP="00000000" w:rsidRDefault="00000000" w:rsidRPr="00000000" w14:paraId="0000003A">
      <w:pPr>
        <w:numPr>
          <w:ilvl w:val="0"/>
          <w:numId w:val="3"/>
        </w:numPr>
        <w:spacing w:after="60" w:before="120" w:line="264"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Vznikla-li povinnost úhrady poplatku po datu splatnosti dle odst. 1, je poplatek splatný do 15 dnů po ukončení měsíce, v němž poplatková povinnost vznikla.</w:t>
      </w:r>
    </w:p>
    <w:p w:rsidR="00000000" w:rsidDel="00000000" w:rsidP="00000000" w:rsidRDefault="00000000" w:rsidRPr="00000000" w14:paraId="0000003B">
      <w:pPr>
        <w:spacing w:line="312"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9</w:t>
      </w:r>
    </w:p>
    <w:p w:rsidR="00000000" w:rsidDel="00000000" w:rsidP="00000000" w:rsidRDefault="00000000" w:rsidRPr="00000000" w14:paraId="0000003D">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Navýšení poplatku</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E">
      <w:pPr>
        <w:numPr>
          <w:ilvl w:val="0"/>
          <w:numId w:val="7"/>
        </w:numPr>
        <w:spacing w:before="120" w:line="312"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Nebudou-li poplatky zaplaceny poplatníkem včas nebo ve správné výši, vyměří mu správce poplatku poplatek platebním výměrem nebo hromadným předpisným seznamem. </w:t>
      </w:r>
      <w:r w:rsidDel="00000000" w:rsidR="00000000" w:rsidRPr="00000000">
        <w:rPr>
          <w:rFonts w:ascii="Arial" w:cs="Arial" w:eastAsia="Arial" w:hAnsi="Arial"/>
          <w:sz w:val="22"/>
          <w:szCs w:val="22"/>
          <w:vertAlign w:val="superscript"/>
        </w:rPr>
        <w:footnoteReference w:customMarkFollows="0" w:id="14"/>
      </w:r>
      <w:r w:rsidDel="00000000" w:rsidR="00000000" w:rsidRPr="00000000">
        <w:rPr>
          <w:rtl w:val="0"/>
        </w:rPr>
      </w:r>
    </w:p>
    <w:p w:rsidR="00000000" w:rsidDel="00000000" w:rsidP="00000000" w:rsidRDefault="00000000" w:rsidRPr="00000000" w14:paraId="0000003F">
      <w:pPr>
        <w:numPr>
          <w:ilvl w:val="0"/>
          <w:numId w:val="7"/>
        </w:numPr>
        <w:spacing w:before="120" w:line="312"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Nebudou-li poplatky odvedeny plátcem poplatku včas nebo ve správné výši, vyměří mu správce poplatku poplatek platebním výměrem k přímé úhradě.</w:t>
      </w:r>
      <w:r w:rsidDel="00000000" w:rsidR="00000000" w:rsidRPr="00000000">
        <w:rPr>
          <w:rFonts w:ascii="Arial" w:cs="Arial" w:eastAsia="Arial" w:hAnsi="Arial"/>
          <w:sz w:val="22"/>
          <w:szCs w:val="22"/>
          <w:vertAlign w:val="superscript"/>
        </w:rPr>
        <w:footnoteReference w:customMarkFollows="0" w:id="15"/>
      </w:r>
      <w:r w:rsidDel="00000000" w:rsidR="00000000" w:rsidRPr="00000000">
        <w:rPr>
          <w:rtl w:val="0"/>
        </w:rPr>
      </w:r>
    </w:p>
    <w:p w:rsidR="00000000" w:rsidDel="00000000" w:rsidP="00000000" w:rsidRDefault="00000000" w:rsidRPr="00000000" w14:paraId="00000040">
      <w:pPr>
        <w:numPr>
          <w:ilvl w:val="0"/>
          <w:numId w:val="7"/>
        </w:numPr>
        <w:spacing w:before="120" w:line="312"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Včas nezaplacené nebo neodvedené poplatky nebo část těchto poplatků může správce poplatku zvýšit až na trojnásobek; toto zvýšení je příslušenstvím poplatku sledujícím jeho osud.</w:t>
      </w:r>
      <w:r w:rsidDel="00000000" w:rsidR="00000000" w:rsidRPr="00000000">
        <w:rPr>
          <w:rFonts w:ascii="Arial" w:cs="Arial" w:eastAsia="Arial" w:hAnsi="Arial"/>
          <w:sz w:val="22"/>
          <w:szCs w:val="22"/>
          <w:vertAlign w:val="superscript"/>
        </w:rPr>
        <w:footnoteReference w:customMarkFollows="0" w:id="16"/>
      </w:r>
      <w:r w:rsidDel="00000000" w:rsidR="00000000" w:rsidRPr="00000000">
        <w:rPr>
          <w:rtl w:val="0"/>
        </w:rPr>
      </w:r>
    </w:p>
    <w:p w:rsidR="00000000" w:rsidDel="00000000" w:rsidP="00000000" w:rsidRDefault="00000000" w:rsidRPr="00000000" w14:paraId="00000041">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3540" w:right="0" w:firstLine="708.000000000000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10</w:t>
      </w:r>
    </w:p>
    <w:p w:rsidR="00000000" w:rsidDel="00000000" w:rsidP="00000000" w:rsidRDefault="00000000" w:rsidRPr="00000000" w14:paraId="00000042">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3399" w:right="0" w:firstLine="141.0000000000002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Společná ustanovení</w:t>
      </w:r>
    </w:p>
    <w:p w:rsidR="00000000" w:rsidDel="00000000" w:rsidP="00000000" w:rsidRDefault="00000000" w:rsidRPr="00000000" w14:paraId="00000043">
      <w:pPr>
        <w:numPr>
          <w:ilvl w:val="0"/>
          <w:numId w:val="5"/>
        </w:numPr>
        <w:spacing w:before="120" w:line="264"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Del="00000000" w:rsidR="00000000" w:rsidRPr="00000000">
        <w:rPr>
          <w:rFonts w:ascii="Arial" w:cs="Arial" w:eastAsia="Arial" w:hAnsi="Arial"/>
          <w:sz w:val="22"/>
          <w:szCs w:val="22"/>
          <w:vertAlign w:val="superscript"/>
        </w:rPr>
        <w:footnoteReference w:customMarkFollows="0" w:id="17"/>
      </w:r>
      <w:r w:rsidDel="00000000" w:rsidR="00000000" w:rsidRPr="00000000">
        <w:rPr>
          <w:rtl w:val="0"/>
        </w:rPr>
      </w:r>
    </w:p>
    <w:p w:rsidR="00000000" w:rsidDel="00000000" w:rsidP="00000000" w:rsidRDefault="00000000" w:rsidRPr="00000000" w14:paraId="00000044">
      <w:pPr>
        <w:numPr>
          <w:ilvl w:val="0"/>
          <w:numId w:val="5"/>
        </w:numPr>
        <w:spacing w:before="120" w:line="264"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 svěřenský fond, podílový fond nebo fond obhospodařovaný penzijní společností, do kterých je vložena nemovitá věc, se pro účely poplatků za komunální odpad hledí jako na vlastníka této nemovité věci.</w:t>
      </w:r>
      <w:r w:rsidDel="00000000" w:rsidR="00000000" w:rsidRPr="00000000">
        <w:rPr>
          <w:rFonts w:ascii="Arial" w:cs="Arial" w:eastAsia="Arial" w:hAnsi="Arial"/>
          <w:sz w:val="22"/>
          <w:szCs w:val="22"/>
          <w:vertAlign w:val="superscript"/>
        </w:rPr>
        <w:footnoteReference w:customMarkFollows="0" w:id="18"/>
      </w:r>
      <w:r w:rsidDel="00000000" w:rsidR="00000000" w:rsidRPr="00000000">
        <w:rPr>
          <w:rtl w:val="0"/>
        </w:rPr>
      </w:r>
    </w:p>
    <w:p w:rsidR="00000000" w:rsidDel="00000000" w:rsidP="00000000" w:rsidRDefault="00000000" w:rsidRPr="00000000" w14:paraId="00000045">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11</w:t>
      </w:r>
    </w:p>
    <w:p w:rsidR="00000000" w:rsidDel="00000000" w:rsidP="00000000" w:rsidRDefault="00000000" w:rsidRPr="00000000" w14:paraId="00000046">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Přechodné ustanovení</w:t>
      </w:r>
    </w:p>
    <w:p w:rsidR="00000000" w:rsidDel="00000000" w:rsidP="00000000" w:rsidRDefault="00000000" w:rsidRPr="00000000" w14:paraId="00000047">
      <w:pPr>
        <w:spacing w:before="120" w:line="264"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Poplatkové povinnosti vzniklé před nabytím účinnosti této vyhlášky se posuzují podle dosavadních právních předpisů.</w:t>
      </w:r>
    </w:p>
    <w:p w:rsidR="00000000" w:rsidDel="00000000" w:rsidP="00000000" w:rsidRDefault="00000000" w:rsidRPr="00000000" w14:paraId="00000048">
      <w:pPr>
        <w:spacing w:before="120" w:line="264"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4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13</w:t>
      </w:r>
    </w:p>
    <w:p w:rsidR="00000000" w:rsidDel="00000000" w:rsidP="00000000" w:rsidRDefault="00000000" w:rsidRPr="00000000" w14:paraId="0000004A">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Účinnost</w:t>
      </w:r>
    </w:p>
    <w:p w:rsidR="00000000" w:rsidDel="00000000" w:rsidP="00000000" w:rsidRDefault="00000000" w:rsidRPr="00000000" w14:paraId="0000004B">
      <w:pPr>
        <w:spacing w:before="120" w:line="288"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Tato vyhláška nabývá účinnosti dnem 1.ledna 2023 . </w:t>
      </w:r>
    </w:p>
    <w:p w:rsidR="00000000" w:rsidDel="00000000" w:rsidP="00000000" w:rsidRDefault="00000000" w:rsidRPr="00000000" w14:paraId="0000004C">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left"/>
        <w:rPr>
          <w:rFonts w:ascii="Arial" w:cs="Arial" w:eastAsia="Arial" w:hAnsi="Arial"/>
          <w:b w:val="0"/>
          <w:i w:val="1"/>
          <w:smallCaps w:val="0"/>
          <w:strike w:val="0"/>
          <w:color w:val="1a4bd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spacing w:before="120" w:line="264"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020"/>
        </w:tabs>
        <w:spacing w:after="0" w:before="0" w:line="264"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tab/>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6120"/>
        </w:tabs>
        <w:spacing w:after="0" w:before="0" w:line="264"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t xml:space="preserve">...................................</w:t>
        <w:tab/>
        <w:t xml:space="preserve">.........................................   </w:t>
        <w:br w:type="textWrapping"/>
        <w:t xml:space="preserve">                 </w:t>
      </w:r>
      <w:r w:rsidDel="00000000" w:rsidR="00000000" w:rsidRPr="00000000">
        <w:rPr>
          <w:rFonts w:ascii="Arial" w:cs="Arial" w:eastAsia="Arial" w:hAnsi="Arial"/>
          <w:sz w:val="22"/>
          <w:szCs w:val="22"/>
          <w:rtl w:val="0"/>
        </w:rPr>
        <w:t xml:space="preserve">Radek Vyvadil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Stanislav Klouček</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7020"/>
        </w:tabs>
        <w:spacing w:after="0" w:before="0" w:line="26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místostarosta</w:t>
        <w:tab/>
        <w:t xml:space="preserve"> starosta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7020"/>
        </w:tabs>
        <w:spacing w:after="0" w:before="0" w:line="26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7020"/>
        </w:tabs>
        <w:spacing w:after="0" w:before="0" w:line="26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7020"/>
        </w:tabs>
        <w:spacing w:after="0" w:before="120" w:line="26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Vyvěšeno na úřední desce dne </w:t>
      </w:r>
      <w:r w:rsidDel="00000000" w:rsidR="00000000" w:rsidRPr="00000000">
        <w:rPr>
          <w:rFonts w:ascii="Arial" w:cs="Arial" w:eastAsia="Arial" w:hAnsi="Arial"/>
          <w:sz w:val="22"/>
          <w:szCs w:val="22"/>
          <w:rtl w:val="0"/>
        </w:rPr>
        <w:t xml:space="preserve">22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202</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7020"/>
        </w:tabs>
        <w:spacing w:after="0" w:before="120" w:line="26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Sejmuto z úřední desky dne </w:t>
      </w:r>
      <w:r w:rsidDel="00000000" w:rsidR="00000000" w:rsidRPr="00000000">
        <w:rPr>
          <w:rFonts w:ascii="Arial" w:cs="Arial" w:eastAsia="Arial" w:hAnsi="Arial"/>
          <w:sz w:val="22"/>
          <w:szCs w:val="22"/>
          <w:rtl w:val="0"/>
        </w:rPr>
        <w:t xml:space="preserve">19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.2.202</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7020"/>
        </w:tabs>
        <w:spacing w:after="0" w:before="120" w:line="264"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7020"/>
        </w:tabs>
        <w:spacing w:after="0" w:before="120" w:line="264"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Fonts w:ascii="Arial" w:cs="Arial" w:eastAsia="Arial" w:hAnsi="Arial"/>
          <w:sz w:val="22"/>
          <w:szCs w:val="22"/>
          <w:rtl w:val="0"/>
        </w:rPr>
        <w:t xml:space="preserve">Zveřejnění  obecně závazné vyhlášky bylo shodně provedeno způsobem umožňujícím</w:t>
        <w:br w:type="textWrapping"/>
        <w:t xml:space="preserve">dálkový přístup.</w:t>
      </w:r>
    </w:p>
    <w:p w:rsidR="00000000" w:rsidDel="00000000" w:rsidP="00000000" w:rsidRDefault="00000000" w:rsidRPr="00000000" w14:paraId="00000059">
      <w:pPr>
        <w:rPr>
          <w:rFonts w:ascii="Arial" w:cs="Arial" w:eastAsia="Arial" w:hAnsi="Arial"/>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footerReference r:id="rId8" w:type="default"/>
      <w:pgSz w:h="16838" w:w="11906" w:orient="portrait"/>
      <w:pgMar w:bottom="993" w:top="993"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15 odst. 1 zákona, o místních poplatcích</w:t>
      </w:r>
    </w:p>
  </w:footnote>
  <w:footnote w:id="1">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10j zákona o místních poplatcích</w:t>
      </w:r>
      <w:r w:rsidDel="00000000" w:rsidR="00000000" w:rsidRPr="00000000">
        <w:rPr>
          <w:rtl w:val="0"/>
        </w:rPr>
      </w:r>
    </w:p>
  </w:footnote>
  <w:footnote w:id="2">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10i zákona o místních poplatcích</w:t>
      </w:r>
    </w:p>
  </w:footnote>
  <w:footnote w:id="3">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10n odst. 1  zákona o místních poplatcích</w:t>
      </w:r>
      <w:r w:rsidDel="00000000" w:rsidR="00000000" w:rsidRPr="00000000">
        <w:rPr>
          <w:rtl w:val="0"/>
        </w:rPr>
      </w:r>
    </w:p>
  </w:footnote>
  <w:footnote w:id="4">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10n odst. 2  zákona o místních poplatcích</w:t>
      </w:r>
      <w:r w:rsidDel="00000000" w:rsidR="00000000" w:rsidRPr="00000000">
        <w:rPr>
          <w:rtl w:val="0"/>
        </w:rPr>
      </w:r>
    </w:p>
  </w:footnote>
  <w:footnote w:id="5">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10p zákona o místních poplatcích</w:t>
      </w:r>
      <w:r w:rsidDel="00000000" w:rsidR="00000000" w:rsidRPr="00000000">
        <w:rPr>
          <w:rtl w:val="0"/>
        </w:rPr>
      </w:r>
    </w:p>
  </w:footnote>
  <w:footnote w:id="6">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10o odst. 1 zákona o místních poplatcích</w:t>
      </w:r>
      <w:r w:rsidDel="00000000" w:rsidR="00000000" w:rsidRPr="00000000">
        <w:rPr>
          <w:rtl w:val="0"/>
        </w:rPr>
      </w:r>
    </w:p>
  </w:footnote>
  <w:footnote w:id="7">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14a odst. 2 zákona o místních poplatcích</w:t>
      </w:r>
    </w:p>
  </w:footnote>
  <w:footnote w:id="8">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14a odst. 3 zákona o místních poplatcích</w:t>
      </w:r>
    </w:p>
  </w:footnote>
  <w:footnote w:id="9">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14a odst. 4 zákona o místních poplatcích</w:t>
      </w:r>
    </w:p>
  </w:footnote>
  <w:footnote w:id="10">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14a odst. 5 zákona o místních poplatcích</w:t>
      </w:r>
      <w:r w:rsidDel="00000000" w:rsidR="00000000" w:rsidRPr="00000000">
        <w:rPr>
          <w:rtl w:val="0"/>
        </w:rPr>
      </w:r>
    </w:p>
  </w:footnote>
  <w:footnote w:id="11">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Absencí plátce je míněna situace, kdy je osoba poplatníka a plátce totožná (např. vlastník nemovité věci, v níž nemá nikdo bydliště) a jedná tudíž pouze v postavení poplatníka. </w:t>
      </w:r>
    </w:p>
  </w:footnote>
  <w:footnote w:id="12">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10k ve spojení s § 10o odst. 2 zákona o místních poplatcích</w:t>
      </w:r>
      <w:r w:rsidDel="00000000" w:rsidR="00000000" w:rsidRPr="00000000">
        <w:rPr>
          <w:rtl w:val="0"/>
        </w:rPr>
      </w:r>
    </w:p>
  </w:footnote>
  <w:footnote w:id="13">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10m ve spojení s § 10o odst. 2 zákona o místních poplatcích</w:t>
      </w:r>
      <w:r w:rsidDel="00000000" w:rsidR="00000000" w:rsidRPr="00000000">
        <w:rPr>
          <w:rtl w:val="0"/>
        </w:rPr>
      </w:r>
    </w:p>
  </w:footnote>
  <w:footnote w:id="14">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11 odst. 1 zákona o místních poplatcích</w:t>
      </w:r>
      <w:r w:rsidDel="00000000" w:rsidR="00000000" w:rsidRPr="00000000">
        <w:rPr>
          <w:rtl w:val="0"/>
        </w:rPr>
      </w:r>
    </w:p>
  </w:footnote>
  <w:footnote w:id="15">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11 odst. 2 zákona o místních poplatcích</w:t>
      </w:r>
    </w:p>
  </w:footnote>
  <w:footnote w:id="16">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11 odst. 3 zákona o místních poplatcích</w:t>
      </w:r>
    </w:p>
  </w:footnote>
  <w:footnote w:id="17">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10q zákona o místních poplatcích</w:t>
      </w:r>
      <w:r w:rsidDel="00000000" w:rsidR="00000000" w:rsidRPr="00000000">
        <w:rPr>
          <w:rtl w:val="0"/>
        </w:rPr>
      </w:r>
    </w:p>
  </w:footnote>
  <w:footnote w:id="18">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10r zákona o místních poplatcích</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67" w:hanging="567"/>
      </w:pPr>
      <w:rPr>
        <w:b w:val="0"/>
        <w:i w:val="0"/>
        <w:strike w:val="0"/>
        <w:color w:val="00000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2">
    <w:lvl w:ilvl="0">
      <w:start w:val="1"/>
      <w:numFmt w:val="decimal"/>
      <w:lvlText w:val="(%1)"/>
      <w:lvlJc w:val="left"/>
      <w:pPr>
        <w:ind w:left="567" w:hanging="567"/>
      </w:pPr>
      <w:rPr>
        <w:b w:val="0"/>
        <w:i w:val="0"/>
        <w:strike w:val="0"/>
        <w:color w:val="00000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3">
    <w:lvl w:ilvl="0">
      <w:start w:val="1"/>
      <w:numFmt w:val="decimal"/>
      <w:lvlText w:val="(%1)"/>
      <w:lvlJc w:val="left"/>
      <w:pPr>
        <w:ind w:left="567" w:hanging="567"/>
      </w:pPr>
      <w:rPr>
        <w:b w:val="0"/>
        <w:i w:val="0"/>
        <w:strike w:val="0"/>
        <w:color w:val="00000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4">
    <w:lvl w:ilvl="0">
      <w:start w:val="1"/>
      <w:numFmt w:val="decimal"/>
      <w:lvlText w:val="(%1)"/>
      <w:lvlJc w:val="left"/>
      <w:pPr>
        <w:ind w:left="567" w:hanging="567"/>
      </w:pPr>
      <w:rPr>
        <w:b w:val="0"/>
        <w:i w:val="0"/>
        <w:strike w:val="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5">
    <w:lvl w:ilvl="0">
      <w:start w:val="1"/>
      <w:numFmt w:val="decimal"/>
      <w:lvlText w:val="(%1)"/>
      <w:lvlJc w:val="left"/>
      <w:pPr>
        <w:ind w:left="567" w:hanging="567"/>
      </w:pPr>
      <w:rPr>
        <w:b w:val="0"/>
        <w:i w:val="0"/>
        <w:strike w:val="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6">
    <w:lvl w:ilvl="0">
      <w:start w:val="1"/>
      <w:numFmt w:val="decimal"/>
      <w:lvlText w:val="(%1)"/>
      <w:lvlJc w:val="left"/>
      <w:pPr>
        <w:ind w:left="1353" w:hanging="359.9999999999999"/>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7">
    <w:lvl w:ilvl="0">
      <w:start w:val="1"/>
      <w:numFmt w:val="decimal"/>
      <w:lvlText w:val="(%1)"/>
      <w:lvlJc w:val="left"/>
      <w:pPr>
        <w:ind w:left="567" w:hanging="567"/>
      </w:pPr>
      <w:rPr>
        <w:b w:val="0"/>
        <w:i w:val="0"/>
        <w:strike w:val="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8">
    <w:lvl w:ilvl="0">
      <w:start w:val="1"/>
      <w:numFmt w:val="decimal"/>
      <w:lvlText w:val="(%1)"/>
      <w:lvlJc w:val="left"/>
      <w:pPr>
        <w:ind w:left="567" w:hanging="567"/>
      </w:pPr>
      <w:rPr>
        <w:b w:val="0"/>
        <w:i w:val="0"/>
        <w:strike w:val="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jc w:val="both"/>
    </w:pPr>
    <w:rPr>
      <w:u w:val="singl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ln" w:default="1">
    <w:name w:val="Normal"/>
    <w:qFormat w:val="1"/>
    <w:rsid w:val="00131160"/>
    <w:rPr>
      <w:sz w:val="24"/>
      <w:szCs w:val="24"/>
    </w:rPr>
  </w:style>
  <w:style w:type="paragraph" w:styleId="Nadpis2">
    <w:name w:val="heading 2"/>
    <w:basedOn w:val="Normln"/>
    <w:next w:val="Normln"/>
    <w:link w:val="Nadpis2Char"/>
    <w:qFormat w:val="1"/>
    <w:rsid w:val="00131160"/>
    <w:pPr>
      <w:keepNext w:val="1"/>
      <w:jc w:val="both"/>
      <w:outlineLvl w:val="1"/>
    </w:pPr>
    <w:rPr>
      <w:u w:val="single"/>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2Char" w:customStyle="1">
    <w:name w:val="Nadpis 2 Char"/>
    <w:link w:val="Nadpis2"/>
    <w:semiHidden w:val="1"/>
    <w:rsid w:val="00131160"/>
    <w:rPr>
      <w:sz w:val="24"/>
      <w:szCs w:val="24"/>
      <w:u w:val="single"/>
      <w:lang w:bidi="ar-SA" w:eastAsia="cs-CZ" w:val="cs-CZ"/>
    </w:rPr>
  </w:style>
  <w:style w:type="paragraph" w:styleId="Zkladntextodsazen">
    <w:name w:val="Body Text Indent"/>
    <w:basedOn w:val="Normln"/>
    <w:link w:val="ZkladntextodsazenChar"/>
    <w:rsid w:val="00131160"/>
    <w:pPr>
      <w:ind w:left="708" w:firstLine="357"/>
      <w:jc w:val="both"/>
    </w:pPr>
  </w:style>
  <w:style w:type="character" w:styleId="ZkladntextodsazenChar" w:customStyle="1">
    <w:name w:val="Základní text odsazený Char"/>
    <w:link w:val="Zkladntextodsazen"/>
    <w:semiHidden w:val="1"/>
    <w:rsid w:val="00131160"/>
    <w:rPr>
      <w:sz w:val="24"/>
      <w:szCs w:val="24"/>
      <w:lang w:bidi="ar-SA" w:eastAsia="cs-CZ" w:val="cs-CZ"/>
    </w:rPr>
  </w:style>
  <w:style w:type="paragraph" w:styleId="Zhlav">
    <w:name w:val="header"/>
    <w:basedOn w:val="Normln"/>
    <w:link w:val="ZhlavChar"/>
    <w:rsid w:val="00131160"/>
    <w:pPr>
      <w:tabs>
        <w:tab w:val="center" w:pos="4536"/>
        <w:tab w:val="right" w:pos="9072"/>
      </w:tabs>
    </w:pPr>
  </w:style>
  <w:style w:type="character" w:styleId="ZhlavChar" w:customStyle="1">
    <w:name w:val="Záhlaví Char"/>
    <w:link w:val="Zhlav"/>
    <w:semiHidden w:val="1"/>
    <w:rsid w:val="00131160"/>
    <w:rPr>
      <w:sz w:val="24"/>
      <w:szCs w:val="24"/>
      <w:lang w:bidi="ar-SA" w:eastAsia="cs-CZ" w:val="cs-CZ"/>
    </w:rPr>
  </w:style>
  <w:style w:type="paragraph" w:styleId="Zkladntext">
    <w:name w:val="Body Text"/>
    <w:basedOn w:val="Normln"/>
    <w:link w:val="ZkladntextChar"/>
    <w:rsid w:val="00131160"/>
    <w:pPr>
      <w:spacing w:after="120"/>
    </w:pPr>
  </w:style>
  <w:style w:type="character" w:styleId="ZkladntextChar" w:customStyle="1">
    <w:name w:val="Základní text Char"/>
    <w:link w:val="Zkladntext"/>
    <w:semiHidden w:val="1"/>
    <w:rsid w:val="00131160"/>
    <w:rPr>
      <w:sz w:val="24"/>
      <w:szCs w:val="24"/>
      <w:lang w:bidi="ar-SA" w:eastAsia="cs-CZ" w:val="cs-CZ"/>
    </w:rPr>
  </w:style>
  <w:style w:type="paragraph" w:styleId="Textpoznpodarou">
    <w:name w:val="footnote text"/>
    <w:basedOn w:val="Normln"/>
    <w:link w:val="TextpoznpodarouChar"/>
    <w:semiHidden w:val="1"/>
    <w:rsid w:val="00131160"/>
    <w:rPr>
      <w:noProof w:val="1"/>
      <w:sz w:val="20"/>
      <w:szCs w:val="20"/>
    </w:rPr>
  </w:style>
  <w:style w:type="character" w:styleId="TextpoznpodarouChar" w:customStyle="1">
    <w:name w:val="Text pozn. pod čarou Char"/>
    <w:link w:val="Textpoznpodarou"/>
    <w:semiHidden w:val="1"/>
    <w:rsid w:val="00131160"/>
    <w:rPr>
      <w:noProof w:val="1"/>
      <w:lang w:bidi="ar-SA" w:eastAsia="cs-CZ" w:val="cs-CZ"/>
    </w:rPr>
  </w:style>
  <w:style w:type="character" w:styleId="Znakapoznpodarou">
    <w:name w:val="footnote reference"/>
    <w:semiHidden w:val="1"/>
    <w:rsid w:val="00131160"/>
    <w:rPr>
      <w:vertAlign w:val="superscript"/>
    </w:rPr>
  </w:style>
  <w:style w:type="paragraph" w:styleId="nzevzkona" w:customStyle="1">
    <w:name w:val="název zákona"/>
    <w:basedOn w:val="Nzev"/>
    <w:rsid w:val="00131160"/>
    <w:rPr>
      <w:rFonts w:ascii="Cambria" w:cs="Cambria" w:hAnsi="Cambria"/>
    </w:rPr>
  </w:style>
  <w:style w:type="paragraph" w:styleId="slalnk" w:customStyle="1">
    <w:name w:val="Čísla článků"/>
    <w:basedOn w:val="Normln"/>
    <w:rsid w:val="00131160"/>
    <w:pPr>
      <w:keepNext w:val="1"/>
      <w:keepLines w:val="1"/>
      <w:spacing w:after="60" w:before="360"/>
      <w:jc w:val="center"/>
    </w:pPr>
    <w:rPr>
      <w:b w:val="1"/>
      <w:bCs w:val="1"/>
      <w:szCs w:val="20"/>
    </w:rPr>
  </w:style>
  <w:style w:type="paragraph" w:styleId="Nzvylnk" w:customStyle="1">
    <w:name w:val="Názvy článků"/>
    <w:basedOn w:val="slalnk"/>
    <w:rsid w:val="00131160"/>
    <w:pPr>
      <w:spacing w:after="160" w:before="60"/>
    </w:pPr>
  </w:style>
  <w:style w:type="paragraph" w:styleId="Oddstavcevlncch" w:customStyle="1">
    <w:name w:val="Oddstavce v článcích"/>
    <w:basedOn w:val="Normln"/>
    <w:next w:val="Normln"/>
    <w:rsid w:val="00131160"/>
    <w:pPr>
      <w:keepLines w:val="1"/>
      <w:numPr>
        <w:numId w:val="2"/>
      </w:numPr>
      <w:spacing w:after="60"/>
      <w:jc w:val="both"/>
    </w:pPr>
  </w:style>
  <w:style w:type="paragraph" w:styleId="Nzev">
    <w:name w:val="Title"/>
    <w:basedOn w:val="Normln"/>
    <w:qFormat w:val="1"/>
    <w:rsid w:val="00131160"/>
    <w:pPr>
      <w:spacing w:after="60" w:before="240"/>
      <w:jc w:val="center"/>
      <w:outlineLvl w:val="0"/>
    </w:pPr>
    <w:rPr>
      <w:rFonts w:ascii="Arial" w:cs="Arial" w:hAnsi="Arial"/>
      <w:b w:val="1"/>
      <w:bCs w:val="1"/>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styleId="ZpatChar" w:customStyle="1">
    <w:name w:val="Zápatí Char"/>
    <w:link w:val="Zpat"/>
    <w:uiPriority w:val="99"/>
    <w:rsid w:val="00B10E4F"/>
    <w:rPr>
      <w:sz w:val="24"/>
      <w:szCs w:val="24"/>
    </w:rPr>
  </w:style>
  <w:style w:type="paragraph" w:styleId="NormlnIMP" w:customStyle="1">
    <w:name w:val="Normální_IMP"/>
    <w:basedOn w:val="Normln"/>
    <w:rsid w:val="00C67504"/>
    <w:pPr>
      <w:suppressAutoHyphens w:val="1"/>
      <w:overflowPunct w:val="0"/>
      <w:autoSpaceDE w:val="0"/>
      <w:autoSpaceDN w:val="0"/>
      <w:adjustRightInd w:val="0"/>
      <w:spacing w:line="230" w:lineRule="auto"/>
      <w:jc w:val="both"/>
      <w:textAlignment w:val="baseline"/>
    </w:pPr>
    <w:rPr>
      <w:szCs w:val="20"/>
    </w:rPr>
  </w:style>
  <w:style w:type="paragraph" w:styleId="Default" w:customStyle="1">
    <w:name w:val="Default"/>
    <w:rsid w:val="00650483"/>
    <w:pPr>
      <w:autoSpaceDE w:val="0"/>
      <w:autoSpaceDN w:val="0"/>
      <w:adjustRightInd w:val="0"/>
    </w:pPr>
    <w:rPr>
      <w:rFonts w:ascii="Arial" w:cs="Arial" w:hAnsi="Arial"/>
      <w:color w:val="000000"/>
      <w:sz w:val="24"/>
      <w:szCs w:val="24"/>
    </w:rPr>
  </w:style>
  <w:style w:type="character" w:styleId="Odkaznakoment">
    <w:name w:val="annotation reference"/>
    <w:rsid w:val="004F3772"/>
    <w:rPr>
      <w:sz w:val="16"/>
      <w:szCs w:val="16"/>
    </w:rPr>
  </w:style>
  <w:style w:type="paragraph" w:styleId="Textkomente">
    <w:name w:val="annotation text"/>
    <w:basedOn w:val="Normln"/>
    <w:link w:val="TextkomenteChar"/>
    <w:rsid w:val="004F3772"/>
    <w:rPr>
      <w:sz w:val="20"/>
      <w:szCs w:val="20"/>
    </w:rPr>
  </w:style>
  <w:style w:type="character" w:styleId="TextkomenteChar" w:customStyle="1">
    <w:name w:val="Text komentáře Char"/>
    <w:basedOn w:val="Standardnpsmoodstavce"/>
    <w:link w:val="Textkomente"/>
    <w:rsid w:val="004F3772"/>
  </w:style>
  <w:style w:type="paragraph" w:styleId="Pedmtkomente">
    <w:name w:val="annotation subject"/>
    <w:basedOn w:val="Textkomente"/>
    <w:next w:val="Textkomente"/>
    <w:link w:val="PedmtkomenteChar"/>
    <w:rsid w:val="004F3772"/>
    <w:rPr>
      <w:b w:val="1"/>
      <w:bCs w:val="1"/>
    </w:rPr>
  </w:style>
  <w:style w:type="character" w:styleId="PedmtkomenteChar" w:customStyle="1">
    <w:name w:val="Předmět komentáře Char"/>
    <w:link w:val="Pedmtkomente"/>
    <w:rsid w:val="004F3772"/>
    <w:rPr>
      <w:b w:val="1"/>
      <w:bCs w:val="1"/>
    </w:rPr>
  </w:style>
  <w:style w:type="paragraph" w:styleId="Textbubliny">
    <w:name w:val="Balloon Text"/>
    <w:basedOn w:val="Normln"/>
    <w:link w:val="TextbublinyChar"/>
    <w:rsid w:val="004F3772"/>
    <w:rPr>
      <w:rFonts w:ascii="Segoe UI" w:cs="Segoe UI" w:hAnsi="Segoe UI"/>
      <w:sz w:val="18"/>
      <w:szCs w:val="18"/>
    </w:rPr>
  </w:style>
  <w:style w:type="character" w:styleId="TextbublinyChar" w:customStyle="1">
    <w:name w:val="Text bubliny Char"/>
    <w:link w:val="Textbubliny"/>
    <w:rsid w:val="004F3772"/>
    <w:rPr>
      <w:rFonts w:ascii="Segoe UI" w:cs="Segoe UI" w:hAnsi="Segoe UI"/>
      <w:sz w:val="18"/>
      <w:szCs w:val="18"/>
    </w:rPr>
  </w:style>
  <w:style w:type="paragraph" w:styleId="Revize">
    <w:name w:val="Revision"/>
    <w:hidden w:val="1"/>
    <w:uiPriority w:val="99"/>
    <w:semiHidden w:val="1"/>
    <w:rsid w:val="00683897"/>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qD34KP8PwSqdEHFP17zFWC05ZA==">AMUW2mUE8UWYjJ13eN/K3Q9AybYoN/nVxpIer8SGGI5NoVGUrbMVKK+gcwyCOMYPDLKQZhglAIKw9bWOgA2Xddj4eRc6fK6RIfCgCjAbjNfKrap2cVjMchKZdknJVOZCJAO4+oEyyd9g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2021-11-10T16:45:00Z</dcterms:created>
  <dc:creator>Mgr. Lukáš Toman</dc:creator>
</cp:coreProperties>
</file>