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D666" w14:textId="77777777" w:rsidR="00E252E7" w:rsidRDefault="00E252E7">
      <w:pPr>
        <w:pStyle w:val="Zhlav"/>
        <w:rPr>
          <w:bCs/>
        </w:rPr>
      </w:pPr>
    </w:p>
    <w:p w14:paraId="245EFBCC" w14:textId="77777777" w:rsidR="00E252E7" w:rsidRDefault="0000000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Hrabová</w:t>
      </w:r>
    </w:p>
    <w:p w14:paraId="6AEE7495" w14:textId="77777777" w:rsidR="00E252E7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Hrabová</w:t>
      </w:r>
    </w:p>
    <w:p w14:paraId="58FB702A" w14:textId="77777777" w:rsidR="00E252E7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Hrabová</w:t>
      </w:r>
    </w:p>
    <w:p w14:paraId="410AD4CC" w14:textId="77777777" w:rsidR="00E252E7" w:rsidRDefault="00E252E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927245" w14:textId="77777777" w:rsidR="00E252E7" w:rsidRDefault="0000000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2836AAF1" w14:textId="77777777" w:rsidR="00E252E7" w:rsidRDefault="00E252E7">
      <w:pPr>
        <w:rPr>
          <w:rFonts w:ascii="Arial" w:hAnsi="Arial" w:cs="Arial"/>
          <w:b/>
          <w:sz w:val="22"/>
          <w:szCs w:val="22"/>
          <w:u w:val="single"/>
        </w:rPr>
      </w:pPr>
    </w:p>
    <w:p w14:paraId="5448AC47" w14:textId="1A83157F" w:rsidR="00E252E7" w:rsidRDefault="0000000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Hrabová se na svém zasedání dne 2</w:t>
      </w:r>
      <w:r w:rsidR="0071420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.2.2024 usnesením č. </w:t>
      </w:r>
      <w:r w:rsidR="000F2487">
        <w:rPr>
          <w:rFonts w:ascii="Arial" w:hAnsi="Arial" w:cs="Arial"/>
          <w:sz w:val="22"/>
          <w:szCs w:val="22"/>
        </w:rPr>
        <w:t>Z</w:t>
      </w:r>
      <w:r w:rsidR="0071420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/</w:t>
      </w:r>
      <w:r w:rsidR="0071420C">
        <w:rPr>
          <w:rFonts w:ascii="Arial" w:hAnsi="Arial" w:cs="Arial"/>
          <w:sz w:val="22"/>
          <w:szCs w:val="22"/>
        </w:rPr>
        <w:t>2</w:t>
      </w:r>
      <w:r w:rsidR="000F2487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0305F9A3" w14:textId="77777777" w:rsidR="00E252E7" w:rsidRDefault="00E252E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7468D87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8B02713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8D7C2C4" w14:textId="77777777" w:rsidR="00E252E7" w:rsidRDefault="00E252E7">
      <w:pPr>
        <w:jc w:val="both"/>
        <w:rPr>
          <w:rFonts w:ascii="Arial" w:hAnsi="Arial" w:cs="Arial"/>
          <w:b/>
          <w:sz w:val="22"/>
          <w:szCs w:val="22"/>
        </w:rPr>
      </w:pPr>
    </w:p>
    <w:p w14:paraId="3857C241" w14:textId="77777777" w:rsidR="00E252E7" w:rsidRDefault="0000000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stanoví zákon.</w:t>
      </w:r>
    </w:p>
    <w:p w14:paraId="19C4046B" w14:textId="77777777" w:rsidR="00E252E7" w:rsidRDefault="00E252E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EA3752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758EBFA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961AF96" w14:textId="77777777" w:rsidR="00E252E7" w:rsidRDefault="00E252E7">
      <w:pPr>
        <w:jc w:val="center"/>
        <w:rPr>
          <w:rFonts w:ascii="Arial" w:hAnsi="Arial" w:cs="Arial"/>
          <w:b/>
          <w:sz w:val="22"/>
          <w:szCs w:val="22"/>
        </w:rPr>
      </w:pPr>
    </w:p>
    <w:p w14:paraId="5399D832" w14:textId="77777777" w:rsidR="00E252E7" w:rsidRDefault="0000000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FootnoteAnchor"/>
          <w:rFonts w:ascii="Arial" w:hAnsi="Arial" w:cs="Arial"/>
          <w:sz w:val="22"/>
          <w:szCs w:val="22"/>
        </w:rPr>
        <w:footnoteReference w:id="1"/>
      </w:r>
    </w:p>
    <w:p w14:paraId="5007D3AD" w14:textId="77777777" w:rsidR="00E252E7" w:rsidRDefault="00E252E7">
      <w:pPr>
        <w:spacing w:after="120"/>
        <w:rPr>
          <w:rFonts w:ascii="Arial" w:hAnsi="Arial" w:cs="Arial"/>
          <w:sz w:val="22"/>
          <w:szCs w:val="22"/>
        </w:rPr>
      </w:pPr>
    </w:p>
    <w:p w14:paraId="575061B2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1C0DF4D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proofErr w:type="gramStart"/>
      <w:r>
        <w:rPr>
          <w:rFonts w:ascii="Arial" w:hAnsi="Arial" w:cs="Arial"/>
          <w:b/>
          <w:sz w:val="22"/>
          <w:szCs w:val="22"/>
        </w:rPr>
        <w:t>kratší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než stanoví zákon</w:t>
      </w:r>
    </w:p>
    <w:p w14:paraId="1F436D8F" w14:textId="77777777" w:rsidR="00E252E7" w:rsidRDefault="00E252E7">
      <w:pPr>
        <w:tabs>
          <w:tab w:val="left" w:pos="284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78CEBF98" w14:textId="77777777" w:rsidR="00E252E7" w:rsidRDefault="0000000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nemusí být dodržována:</w:t>
      </w:r>
    </w:p>
    <w:p w14:paraId="2E991059" w14:textId="77777777" w:rsidR="00E252E7" w:rsidRDefault="0000000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 do 02:00 hodin,</w:t>
      </w:r>
    </w:p>
    <w:p w14:paraId="4114EFFD" w14:textId="77777777" w:rsidR="00E252E7" w:rsidRDefault="0000000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ze dne konání tradiční akce „Pálení čarodějnic“ na den následující konané jednu noc z 30. dubna na 1. května roku do 02:00 hodin,</w:t>
      </w:r>
    </w:p>
    <w:p w14:paraId="5B478597" w14:textId="77777777" w:rsidR="00E252E7" w:rsidRDefault="0000000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dne konání tradiční akce „Oslavy osvobození“ na den následující konané jednu noc ze 7. května na 8. května do 02:00 hodin,</w:t>
      </w:r>
    </w:p>
    <w:p w14:paraId="61DCD309" w14:textId="77777777" w:rsidR="00E252E7" w:rsidRDefault="0000000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tradiční akce „Zahájení prázdnin“ na den následující konané jednu noc ze soboty na neděli v měsíci červenci do 02:00 hodin,</w:t>
      </w:r>
    </w:p>
    <w:p w14:paraId="6F98F0A9" w14:textId="77777777" w:rsidR="00E252E7" w:rsidRDefault="00000000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ze dne konání tradiční akce „Srazu motorkářů“ na den následující konaných jednu noc ze soboty na neděli v měsíci srpnu do 02:00 hodin.</w:t>
      </w:r>
    </w:p>
    <w:p w14:paraId="59556EEA" w14:textId="77777777" w:rsidR="00E252E7" w:rsidRDefault="00E252E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D8CFA06" w14:textId="77777777" w:rsidR="00E252E7" w:rsidRDefault="0000000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1, písm. d) a e) tohoto článku obecně závazné vyhlášky bude zveřejněna obecním úřadem na úřední desce minimálně 5 dnů před datem konání. </w:t>
      </w:r>
    </w:p>
    <w:p w14:paraId="64608B0C" w14:textId="77777777" w:rsidR="00E252E7" w:rsidRDefault="00E252E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6C34783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6C9B6BF7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189DAD8" w14:textId="77777777" w:rsidR="00E252E7" w:rsidRDefault="00E252E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9D4A8A" w14:textId="77777777" w:rsidR="00E252E7" w:rsidRDefault="00000000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3/2023, o nočním klidu, ze dne 19. 10. 2023.</w:t>
      </w:r>
    </w:p>
    <w:p w14:paraId="6D416134" w14:textId="77777777" w:rsidR="00E252E7" w:rsidRDefault="00E252E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03AF644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106313E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59C0D9D" w14:textId="77777777" w:rsidR="00E252E7" w:rsidRDefault="00E252E7">
      <w:pPr>
        <w:jc w:val="center"/>
        <w:rPr>
          <w:rFonts w:ascii="Arial" w:hAnsi="Arial" w:cs="Arial"/>
          <w:b/>
          <w:sz w:val="22"/>
          <w:szCs w:val="22"/>
        </w:rPr>
      </w:pPr>
    </w:p>
    <w:p w14:paraId="1EC30C17" w14:textId="77777777" w:rsidR="00E252E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3BB38FD8" w14:textId="77777777" w:rsidR="00E252E7" w:rsidRDefault="00E252E7">
      <w:pPr>
        <w:spacing w:after="120"/>
        <w:rPr>
          <w:rFonts w:ascii="Arial" w:hAnsi="Arial" w:cs="Arial"/>
          <w:sz w:val="22"/>
          <w:szCs w:val="22"/>
        </w:rPr>
      </w:pPr>
    </w:p>
    <w:p w14:paraId="72A221DD" w14:textId="77777777" w:rsidR="00E252E7" w:rsidRDefault="00E252E7">
      <w:pPr>
        <w:spacing w:after="120"/>
        <w:rPr>
          <w:rFonts w:ascii="Arial" w:hAnsi="Arial" w:cs="Arial"/>
          <w:sz w:val="22"/>
          <w:szCs w:val="22"/>
        </w:rPr>
      </w:pPr>
    </w:p>
    <w:p w14:paraId="50FA17AA" w14:textId="77777777" w:rsidR="00E252E7" w:rsidRDefault="00000000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56AC2AE" w14:textId="77777777" w:rsidR="00E252E7" w:rsidRDefault="00000000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BB5299" w14:textId="77777777" w:rsidR="00E252E7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                                               ..................................</w:t>
      </w:r>
    </w:p>
    <w:p w14:paraId="2C5C72B4" w14:textId="77777777" w:rsidR="00E252E7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Ing. Petr </w:t>
      </w:r>
      <w:proofErr w:type="spellStart"/>
      <w:r>
        <w:rPr>
          <w:rFonts w:ascii="Arial" w:hAnsi="Arial" w:cs="Arial"/>
          <w:sz w:val="22"/>
          <w:szCs w:val="22"/>
        </w:rPr>
        <w:t>Moťka</w:t>
      </w:r>
      <w:proofErr w:type="spellEnd"/>
      <w:r>
        <w:rPr>
          <w:rFonts w:ascii="Arial" w:hAnsi="Arial" w:cs="Arial"/>
          <w:sz w:val="22"/>
          <w:szCs w:val="22"/>
        </w:rPr>
        <w:t>, LL.M.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Ilona </w:t>
      </w:r>
      <w:proofErr w:type="spellStart"/>
      <w:r>
        <w:rPr>
          <w:rFonts w:ascii="Arial" w:hAnsi="Arial" w:cs="Arial"/>
          <w:sz w:val="22"/>
          <w:szCs w:val="22"/>
        </w:rPr>
        <w:t>Šimarová</w:t>
      </w:r>
      <w:proofErr w:type="spellEnd"/>
    </w:p>
    <w:p w14:paraId="71A922ED" w14:textId="77777777" w:rsidR="00E252E7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starostka</w:t>
      </w:r>
    </w:p>
    <w:p w14:paraId="00ADDF81" w14:textId="77777777" w:rsidR="00E252E7" w:rsidRDefault="00E252E7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E252E7">
      <w:pgSz w:w="11906" w:h="16838"/>
      <w:pgMar w:top="709" w:right="1417" w:bottom="99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2860" w14:textId="77777777" w:rsidR="00650CCC" w:rsidRDefault="00650CCC">
      <w:r>
        <w:separator/>
      </w:r>
    </w:p>
  </w:endnote>
  <w:endnote w:type="continuationSeparator" w:id="0">
    <w:p w14:paraId="00804689" w14:textId="77777777" w:rsidR="00650CCC" w:rsidRDefault="0065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FA3B" w14:textId="77777777" w:rsidR="00650CCC" w:rsidRDefault="00650CCC">
      <w:pPr>
        <w:rPr>
          <w:sz w:val="12"/>
        </w:rPr>
      </w:pPr>
      <w:r>
        <w:separator/>
      </w:r>
    </w:p>
  </w:footnote>
  <w:footnote w:type="continuationSeparator" w:id="0">
    <w:p w14:paraId="312E5A09" w14:textId="77777777" w:rsidR="00650CCC" w:rsidRDefault="00650CCC">
      <w:pPr>
        <w:rPr>
          <w:sz w:val="12"/>
        </w:rPr>
      </w:pPr>
      <w:r>
        <w:continuationSeparator/>
      </w:r>
    </w:p>
  </w:footnote>
  <w:footnote w:id="1">
    <w:p w14:paraId="064921F0" w14:textId="77777777" w:rsidR="00E252E7" w:rsidRDefault="00000000">
      <w:pPr>
        <w:pStyle w:val="Textpoznpodarou"/>
        <w:jc w:val="both"/>
        <w:rPr>
          <w:rFonts w:ascii="Arial" w:hAnsi="Arial" w:cs="Arial"/>
          <w:i/>
        </w:rPr>
      </w:pPr>
      <w:r>
        <w:rPr>
          <w:rStyle w:val="FootnoteCharacters"/>
        </w:rPr>
        <w:footnoteRef/>
      </w:r>
      <w: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ustanovení</w:t>
      </w:r>
      <w:proofErr w:type="spellEnd"/>
      <w:r>
        <w:rPr>
          <w:rFonts w:ascii="Arial" w:hAnsi="Arial" w:cs="Arial"/>
        </w:rPr>
        <w:t xml:space="preserve"> § 5 </w:t>
      </w:r>
      <w:proofErr w:type="spellStart"/>
      <w:r>
        <w:rPr>
          <w:rFonts w:ascii="Arial" w:hAnsi="Arial" w:cs="Arial"/>
        </w:rPr>
        <w:t>odst</w:t>
      </w:r>
      <w:proofErr w:type="spellEnd"/>
      <w:r>
        <w:rPr>
          <w:rFonts w:ascii="Arial" w:hAnsi="Arial" w:cs="Arial"/>
        </w:rPr>
        <w:t xml:space="preserve">. 7 </w:t>
      </w:r>
      <w:proofErr w:type="spellStart"/>
      <w:r>
        <w:rPr>
          <w:rFonts w:ascii="Arial" w:hAnsi="Arial" w:cs="Arial"/>
        </w:rPr>
        <w:t>zákona</w:t>
      </w:r>
      <w:proofErr w:type="spellEnd"/>
      <w:r>
        <w:rPr>
          <w:rFonts w:ascii="Arial" w:hAnsi="Arial" w:cs="Arial"/>
        </w:rPr>
        <w:t xml:space="preserve"> č. 251/2016 Sb., o </w:t>
      </w:r>
      <w:proofErr w:type="spellStart"/>
      <w:r>
        <w:rPr>
          <w:rFonts w:ascii="Arial" w:hAnsi="Arial" w:cs="Arial"/>
        </w:rPr>
        <w:t>některých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přestupcích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znění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pozdějších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předpisů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platí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>„</w:t>
      </w:r>
      <w:proofErr w:type="spellStart"/>
      <w:r>
        <w:rPr>
          <w:rFonts w:ascii="Arial" w:hAnsi="Arial" w:cs="Arial"/>
          <w:i/>
        </w:rPr>
        <w:t>Dobou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nočního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klidu</w:t>
      </w:r>
      <w:proofErr w:type="spellEnd"/>
      <w:r>
        <w:rPr>
          <w:rFonts w:ascii="Arial" w:hAnsi="Arial" w:cs="Arial"/>
          <w:i/>
        </w:rPr>
        <w:t xml:space="preserve"> se </w:t>
      </w:r>
      <w:proofErr w:type="spellStart"/>
      <w:r>
        <w:rPr>
          <w:rFonts w:ascii="Arial" w:hAnsi="Arial" w:cs="Arial"/>
          <w:i/>
        </w:rPr>
        <w:t>rozumí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doba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dvacáté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druhé</w:t>
      </w:r>
      <w:proofErr w:type="spellEnd"/>
      <w:r>
        <w:rPr>
          <w:rFonts w:ascii="Arial" w:hAnsi="Arial" w:cs="Arial"/>
          <w:i/>
        </w:rPr>
        <w:t xml:space="preserve"> do </w:t>
      </w:r>
      <w:proofErr w:type="spellStart"/>
      <w:r>
        <w:rPr>
          <w:rFonts w:ascii="Arial" w:hAnsi="Arial" w:cs="Arial"/>
          <w:i/>
        </w:rPr>
        <w:t>šesté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hodiny</w:t>
      </w:r>
      <w:proofErr w:type="spellEnd"/>
      <w:r>
        <w:rPr>
          <w:rFonts w:ascii="Arial" w:hAnsi="Arial" w:cs="Arial"/>
          <w:i/>
        </w:rPr>
        <w:t xml:space="preserve">. Obec </w:t>
      </w:r>
      <w:proofErr w:type="spellStart"/>
      <w:r>
        <w:rPr>
          <w:rFonts w:ascii="Arial" w:hAnsi="Arial" w:cs="Arial"/>
          <w:i/>
        </w:rPr>
        <w:t>může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obecně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závaznou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vyhláškou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stanovit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výjimečné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případy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zejména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slavnosti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nebo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obdobné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společenské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nebo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rodinné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akce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při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nichž</w:t>
      </w:r>
      <w:proofErr w:type="spellEnd"/>
      <w:r>
        <w:rPr>
          <w:rFonts w:ascii="Arial" w:hAnsi="Arial" w:cs="Arial"/>
          <w:i/>
        </w:rPr>
        <w:t xml:space="preserve"> je </w:t>
      </w:r>
      <w:proofErr w:type="spellStart"/>
      <w:r>
        <w:rPr>
          <w:rFonts w:ascii="Arial" w:hAnsi="Arial" w:cs="Arial"/>
          <w:i/>
        </w:rPr>
        <w:t>doba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nočního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klidu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vymezena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dobou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kratší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nebo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nichž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nemusí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být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doba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nočního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klidu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proofErr w:type="gramStart"/>
      <w:r>
        <w:rPr>
          <w:rFonts w:ascii="Arial" w:hAnsi="Arial" w:cs="Arial"/>
          <w:i/>
        </w:rPr>
        <w:t>dodržována</w:t>
      </w:r>
      <w:proofErr w:type="spellEnd"/>
      <w:r>
        <w:rPr>
          <w:rFonts w:ascii="Arial" w:hAnsi="Arial" w:cs="Arial"/>
          <w:i/>
        </w:rPr>
        <w:t>“</w:t>
      </w:r>
      <w:proofErr w:type="gramEnd"/>
    </w:p>
    <w:p w14:paraId="3EA7AF4E" w14:textId="77777777" w:rsidR="00E252E7" w:rsidRDefault="00E252E7">
      <w:pPr>
        <w:pStyle w:val="Textpoznpodarou"/>
        <w:jc w:val="both"/>
        <w:rPr>
          <w:rFonts w:ascii="Arial" w:hAnsi="Arial" w:cs="Arial"/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47C09"/>
    <w:multiLevelType w:val="multilevel"/>
    <w:tmpl w:val="9510F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562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E7"/>
    <w:rsid w:val="000F2487"/>
    <w:rsid w:val="00650CCC"/>
    <w:rsid w:val="0071420C"/>
    <w:rsid w:val="00E062EE"/>
    <w:rsid w:val="00E2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469B"/>
  <w15:docId w15:val="{9CDBAB2A-4594-4A0A-A68D-7585228D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u w:val="no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ZkladntextChar">
    <w:name w:val="Základní text Char"/>
    <w:qFormat/>
    <w:rPr>
      <w:sz w:val="24"/>
    </w:rPr>
  </w:style>
  <w:style w:type="character" w:customStyle="1" w:styleId="TextpoznpodarouChar">
    <w:name w:val="Text pozn. pod čarou Char"/>
    <w:qFormat/>
    <w:rPr>
      <w:lang w:val="en-US" w:eastAsia="en-US"/>
    </w:rPr>
  </w:style>
  <w:style w:type="character" w:customStyle="1" w:styleId="TextChar">
    <w:name w:val="Text Char"/>
    <w:qFormat/>
    <w:rPr>
      <w:rFonts w:ascii="Arial" w:hAnsi="Arial" w:cs="Arial"/>
      <w:sz w:val="24"/>
      <w:szCs w:val="24"/>
    </w:rPr>
  </w:style>
  <w:style w:type="character" w:customStyle="1" w:styleId="NzevChar">
    <w:name w:val="Název Char"/>
    <w:qFormat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Normln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rPr>
      <w:szCs w:val="20"/>
    </w:rPr>
  </w:style>
  <w:style w:type="paragraph" w:styleId="Textpoznpodarou">
    <w:name w:val="footnote text"/>
    <w:basedOn w:val="Normln"/>
    <w:rPr>
      <w:sz w:val="20"/>
      <w:szCs w:val="20"/>
      <w:lang w:val="en-US" w:eastAsia="en-US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Text">
    <w:name w:val="Text"/>
    <w:basedOn w:val="Normln"/>
    <w:qFormat/>
    <w:rPr>
      <w:rFonts w:ascii="Arial" w:hAnsi="Arial" w:cs="Aria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Obec Hrabova</cp:lastModifiedBy>
  <cp:revision>3</cp:revision>
  <dcterms:created xsi:type="dcterms:W3CDTF">2024-03-06T06:47:00Z</dcterms:created>
  <dcterms:modified xsi:type="dcterms:W3CDTF">2024-03-06T07:53:00Z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2024-02-14T13:15:00Z</dcterms:created>
  <dc:creator>DA210036</dc:creator>
  <dc:description/>
  <cp:keywords> </cp:keywords>
  <dc:language>en-US</dc:language>
  <cp:lastModifiedBy>Obec Hrabova</cp:lastModifiedBy>
  <cp:lastPrinted>2007-03-05T11:30:00Z</cp:lastPrinted>
  <dcterms:modified xsi:type="dcterms:W3CDTF">2024-02-14T13:15:00Z</dcterms:modified>
  <cp:revision>2</cp:revision>
  <dc:subject/>
  <dc:title>Vzor obecně závazné vyhlášky obce o stanovení systému shromažďování, sběru, přepravy, třídění, využívání a odstraňování komuná</dc:title>
</cp:coreProperties>
</file>