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91A" w:rsidRDefault="00535561" w:rsidP="00E633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Měřín</w:t>
      </w:r>
    </w:p>
    <w:p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35561">
        <w:rPr>
          <w:rFonts w:ascii="Arial" w:hAnsi="Arial" w:cs="Arial"/>
          <w:b/>
        </w:rPr>
        <w:t>městyse Měřín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535561">
        <w:rPr>
          <w:rFonts w:ascii="Arial" w:hAnsi="Arial" w:cs="Arial"/>
          <w:b/>
        </w:rPr>
        <w:t xml:space="preserve"> městyse Měřín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535561">
        <w:rPr>
          <w:rFonts w:ascii="Arial" w:hAnsi="Arial" w:cs="Arial"/>
          <w:sz w:val="22"/>
          <w:szCs w:val="22"/>
        </w:rPr>
        <w:t xml:space="preserve">městyse Měřín </w:t>
      </w:r>
      <w:r w:rsidR="00AB218D" w:rsidRPr="00B1791A">
        <w:rPr>
          <w:rFonts w:ascii="Arial" w:hAnsi="Arial" w:cs="Arial"/>
          <w:sz w:val="22"/>
          <w:szCs w:val="22"/>
        </w:rPr>
        <w:t>se na svém zasedání dn</w:t>
      </w:r>
      <w:r w:rsidR="003C5418">
        <w:rPr>
          <w:rFonts w:ascii="Arial" w:hAnsi="Arial" w:cs="Arial"/>
          <w:sz w:val="22"/>
          <w:szCs w:val="22"/>
        </w:rPr>
        <w:t>e 19.12.2022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3C5418">
        <w:rPr>
          <w:rFonts w:ascii="Arial" w:hAnsi="Arial" w:cs="Arial"/>
          <w:sz w:val="22"/>
          <w:szCs w:val="22"/>
        </w:rPr>
        <w:t>I.3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DD7E7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Měřín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DD7E7C">
        <w:rPr>
          <w:rFonts w:ascii="Arial" w:hAnsi="Arial" w:cs="Arial"/>
          <w:sz w:val="22"/>
          <w:szCs w:val="22"/>
        </w:rPr>
        <w:t>Úřad městyse Měřín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D843E1" w:rsidRDefault="00AB218D" w:rsidP="002417D6">
      <w:pPr>
        <w:numPr>
          <w:ilvl w:val="0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="009C19DA" w:rsidRPr="009C19DA">
        <w:rPr>
          <w:rFonts w:ascii="Arial" w:hAnsi="Arial" w:cs="Arial"/>
          <w:sz w:val="22"/>
          <w:szCs w:val="22"/>
        </w:rPr>
        <w:t xml:space="preserve"> za provádění výkopových prací, za umístění reklamních zařízení</w:t>
      </w:r>
      <w:r w:rsidR="00D843E1">
        <w:rPr>
          <w:rFonts w:ascii="Arial" w:hAnsi="Arial" w:cs="Arial"/>
          <w:sz w:val="22"/>
          <w:szCs w:val="22"/>
        </w:rPr>
        <w:t xml:space="preserve">, za umístění zařízení cirkusů, za užívání veřejného prostranství pro kulturní akce, za užívání veřejného prostranství pro sportovní akce, za užívání veřejného prostranství pro </w:t>
      </w:r>
      <w:proofErr w:type="spellStart"/>
      <w:r w:rsidR="00D843E1">
        <w:rPr>
          <w:rFonts w:ascii="Arial" w:hAnsi="Arial" w:cs="Arial"/>
          <w:sz w:val="22"/>
          <w:szCs w:val="22"/>
        </w:rPr>
        <w:t>reklamcí</w:t>
      </w:r>
      <w:proofErr w:type="spellEnd"/>
      <w:r w:rsidR="00D843E1">
        <w:rPr>
          <w:rFonts w:ascii="Arial" w:hAnsi="Arial" w:cs="Arial"/>
          <w:sz w:val="22"/>
          <w:szCs w:val="22"/>
        </w:rPr>
        <w:t xml:space="preserve"> akce, za užívání veřejného prostranství pro potřeby tvorby filmových a televizních děl, za umístění zařízení sloužícího pro poskytování prodeje, za umístění skládek.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960B53" w:rsidRDefault="00AB218D" w:rsidP="00960B5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B1791A" w:rsidRPr="00960B53" w:rsidRDefault="00AB218D" w:rsidP="00960B5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>Poplatek se platí za užívání veřejných prostranství</w:t>
      </w:r>
      <w:r w:rsidR="00BA560E">
        <w:rPr>
          <w:rFonts w:ascii="Arial" w:hAnsi="Arial" w:cs="Arial"/>
          <w:sz w:val="22"/>
          <w:szCs w:val="22"/>
        </w:rPr>
        <w:t>,</w:t>
      </w:r>
      <w:r w:rsidR="003A1269" w:rsidRPr="00B1791A">
        <w:rPr>
          <w:rFonts w:ascii="Arial" w:hAnsi="Arial" w:cs="Arial"/>
          <w:sz w:val="22"/>
          <w:szCs w:val="22"/>
        </w:rPr>
        <w:t xml:space="preserve">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D57D3B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D57D3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F12535">
        <w:rPr>
          <w:rFonts w:ascii="Arial" w:hAnsi="Arial" w:cs="Arial"/>
          <w:sz w:val="22"/>
          <w:szCs w:val="22"/>
        </w:rPr>
        <w:t>5-ti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FC0733">
        <w:rPr>
          <w:rFonts w:ascii="Arial" w:hAnsi="Arial" w:cs="Arial"/>
          <w:sz w:val="22"/>
          <w:szCs w:val="22"/>
        </w:rPr>
        <w:t>30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</w:t>
      </w:r>
      <w:r w:rsidR="00B228CC">
        <w:rPr>
          <w:rFonts w:ascii="Arial" w:hAnsi="Arial" w:cs="Arial"/>
          <w:sz w:val="22"/>
          <w:szCs w:val="22"/>
        </w:rPr>
        <w:t>0,50,-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B1791A">
        <w:rPr>
          <w:rFonts w:ascii="Arial" w:hAnsi="Arial" w:cs="Arial"/>
          <w:i/>
          <w:iCs/>
          <w:sz w:val="22"/>
          <w:szCs w:val="22"/>
        </w:rPr>
        <w:t>.</w:t>
      </w:r>
      <w:r w:rsidR="00541741">
        <w:rPr>
          <w:rFonts w:ascii="Arial" w:hAnsi="Arial" w:cs="Arial"/>
          <w:i/>
          <w:iCs/>
          <w:sz w:val="22"/>
          <w:szCs w:val="22"/>
        </w:rPr>
        <w:t>.</w:t>
      </w:r>
      <w:r w:rsidR="00B228CC">
        <w:rPr>
          <w:rFonts w:ascii="Arial" w:hAnsi="Arial" w:cs="Arial"/>
          <w:i/>
          <w:iCs/>
          <w:sz w:val="22"/>
          <w:szCs w:val="22"/>
        </w:rPr>
        <w:t>3,-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</w:p>
    <w:p w:rsidR="007B139A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……………………………………………………</w:t>
      </w:r>
      <w:r w:rsidR="0054174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5,- Kč</w:t>
      </w:r>
    </w:p>
    <w:p w:rsidR="007B139A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užívání veřejného prostranství pro kulturní akce …………………………</w:t>
      </w:r>
      <w:r w:rsidR="0054174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5,- Kč</w:t>
      </w:r>
    </w:p>
    <w:p w:rsidR="007B139A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…………………………</w:t>
      </w:r>
      <w:r w:rsidR="005417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5,- Kč</w:t>
      </w:r>
    </w:p>
    <w:p w:rsidR="007B139A" w:rsidRPr="004E3578" w:rsidRDefault="007B139A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578">
        <w:rPr>
          <w:rFonts w:ascii="Arial" w:hAnsi="Arial" w:cs="Arial"/>
          <w:sz w:val="22"/>
          <w:szCs w:val="22"/>
        </w:rPr>
        <w:t xml:space="preserve">za užívání veřejného prostranství pro </w:t>
      </w:r>
      <w:proofErr w:type="spellStart"/>
      <w:r w:rsidRPr="004E3578">
        <w:rPr>
          <w:rFonts w:ascii="Arial" w:hAnsi="Arial" w:cs="Arial"/>
          <w:sz w:val="22"/>
          <w:szCs w:val="22"/>
        </w:rPr>
        <w:t>reklamcí</w:t>
      </w:r>
      <w:proofErr w:type="spellEnd"/>
      <w:r w:rsidRPr="004E3578">
        <w:rPr>
          <w:rFonts w:ascii="Arial" w:hAnsi="Arial" w:cs="Arial"/>
          <w:sz w:val="22"/>
          <w:szCs w:val="22"/>
        </w:rPr>
        <w:t xml:space="preserve"> akce …………………………</w:t>
      </w:r>
      <w:r w:rsidR="00FE2E27" w:rsidRPr="004E3578">
        <w:rPr>
          <w:rFonts w:ascii="Arial" w:hAnsi="Arial" w:cs="Arial"/>
          <w:sz w:val="22"/>
          <w:szCs w:val="22"/>
        </w:rPr>
        <w:t>10</w:t>
      </w:r>
      <w:r w:rsidRPr="004E3578">
        <w:rPr>
          <w:rFonts w:ascii="Arial" w:hAnsi="Arial" w:cs="Arial"/>
          <w:sz w:val="22"/>
          <w:szCs w:val="22"/>
        </w:rPr>
        <w:t>,- Kč</w:t>
      </w:r>
    </w:p>
    <w:p w:rsidR="009C19DA" w:rsidRPr="004E3578" w:rsidRDefault="009C19DA" w:rsidP="009C19DA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578">
        <w:rPr>
          <w:rFonts w:ascii="Arial" w:hAnsi="Arial" w:cs="Arial"/>
          <w:sz w:val="22"/>
          <w:szCs w:val="22"/>
        </w:rPr>
        <w:t>za užívání veřejného prostranství pro potřeby tvorby filmových a televizních děl ……………………………………………………………………………………….</w:t>
      </w:r>
      <w:r w:rsidR="00FE2E27" w:rsidRPr="004E3578">
        <w:rPr>
          <w:rFonts w:ascii="Arial" w:hAnsi="Arial" w:cs="Arial"/>
          <w:sz w:val="22"/>
          <w:szCs w:val="22"/>
        </w:rPr>
        <w:t>10</w:t>
      </w:r>
      <w:r w:rsidRPr="004E3578">
        <w:rPr>
          <w:rFonts w:ascii="Arial" w:hAnsi="Arial" w:cs="Arial"/>
          <w:sz w:val="22"/>
          <w:szCs w:val="22"/>
        </w:rPr>
        <w:t>,- Kč</w:t>
      </w:r>
    </w:p>
    <w:p w:rsidR="0073282B" w:rsidRPr="004E3578" w:rsidRDefault="0073282B" w:rsidP="009C19DA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578">
        <w:rPr>
          <w:rFonts w:ascii="Arial" w:hAnsi="Arial" w:cs="Arial"/>
          <w:sz w:val="22"/>
          <w:szCs w:val="22"/>
        </w:rPr>
        <w:t>za umístění zařízení sloužícího pro poskytování prodeje …………………</w:t>
      </w:r>
      <w:r w:rsidR="004E3578" w:rsidRPr="004E3578">
        <w:rPr>
          <w:rFonts w:ascii="Arial" w:hAnsi="Arial" w:cs="Arial"/>
          <w:sz w:val="22"/>
          <w:szCs w:val="22"/>
        </w:rPr>
        <w:t>...</w:t>
      </w:r>
      <w:r w:rsidR="00FE2E27" w:rsidRPr="004E3578">
        <w:rPr>
          <w:rFonts w:ascii="Arial" w:hAnsi="Arial" w:cs="Arial"/>
          <w:sz w:val="22"/>
          <w:szCs w:val="22"/>
        </w:rPr>
        <w:t>100</w:t>
      </w:r>
      <w:r w:rsidRPr="004E3578">
        <w:rPr>
          <w:rFonts w:ascii="Arial" w:hAnsi="Arial" w:cs="Arial"/>
          <w:sz w:val="22"/>
          <w:szCs w:val="22"/>
        </w:rPr>
        <w:t>,- Kč</w:t>
      </w:r>
    </w:p>
    <w:p w:rsidR="00185E2D" w:rsidRDefault="00185E2D" w:rsidP="00185E2D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…………………………………………………………...     10,- Kč</w:t>
      </w:r>
    </w:p>
    <w:p w:rsidR="00097B2C" w:rsidRPr="00E814C3" w:rsidRDefault="00097B2C" w:rsidP="00185E2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487C86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AB218D" w:rsidRPr="000720E9" w:rsidRDefault="004F51EF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…………………………………….. 20,-</w:t>
      </w:r>
      <w:r w:rsidR="00AB218D" w:rsidRPr="000720E9">
        <w:rPr>
          <w:rFonts w:ascii="Arial" w:hAnsi="Arial" w:cs="Arial"/>
          <w:sz w:val="22"/>
          <w:szCs w:val="22"/>
        </w:rPr>
        <w:tab/>
        <w:t>Kč/týden</w:t>
      </w:r>
      <w:r w:rsidR="00CD766B">
        <w:rPr>
          <w:rFonts w:ascii="Arial" w:hAnsi="Arial" w:cs="Arial"/>
          <w:sz w:val="22"/>
          <w:szCs w:val="22"/>
        </w:rPr>
        <w:t>/m2</w:t>
      </w:r>
    </w:p>
    <w:p w:rsidR="00AB218D" w:rsidRDefault="004F51EF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………………………………………………….. 20,-</w:t>
      </w:r>
      <w:r w:rsidR="00AB218D" w:rsidRPr="000720E9">
        <w:rPr>
          <w:rFonts w:ascii="Arial" w:hAnsi="Arial" w:cs="Arial"/>
          <w:sz w:val="22"/>
          <w:szCs w:val="22"/>
        </w:rPr>
        <w:tab/>
        <w:t>Kč/</w:t>
      </w:r>
      <w:r>
        <w:rPr>
          <w:rFonts w:ascii="Arial" w:hAnsi="Arial" w:cs="Arial"/>
          <w:sz w:val="22"/>
          <w:szCs w:val="22"/>
        </w:rPr>
        <w:t>týden</w:t>
      </w:r>
      <w:r w:rsidR="00CD766B">
        <w:rPr>
          <w:rFonts w:ascii="Arial" w:hAnsi="Arial" w:cs="Arial"/>
          <w:sz w:val="22"/>
          <w:szCs w:val="22"/>
        </w:rPr>
        <w:t>/m2</w:t>
      </w:r>
    </w:p>
    <w:p w:rsidR="002E7A23" w:rsidRPr="00BB2BC4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BB2BC4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F51EF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F51EF">
        <w:rPr>
          <w:rFonts w:ascii="Arial" w:hAnsi="Arial" w:cs="Arial"/>
          <w:sz w:val="22"/>
          <w:szCs w:val="22"/>
        </w:rPr>
        <w:t>3</w:t>
      </w:r>
      <w:r w:rsidR="00510405">
        <w:rPr>
          <w:rFonts w:ascii="Arial" w:hAnsi="Arial" w:cs="Arial"/>
          <w:sz w:val="22"/>
          <w:szCs w:val="22"/>
        </w:rPr>
        <w:t>0</w:t>
      </w:r>
      <w:r w:rsidRPr="00357895">
        <w:rPr>
          <w:rFonts w:ascii="Arial" w:hAnsi="Arial" w:cs="Arial"/>
          <w:sz w:val="22"/>
          <w:szCs w:val="22"/>
        </w:rPr>
        <w:t xml:space="preserve"> dnů</w:t>
      </w:r>
      <w:r w:rsidR="00984297">
        <w:rPr>
          <w:rFonts w:ascii="Arial" w:hAnsi="Arial" w:cs="Arial"/>
          <w:sz w:val="22"/>
          <w:szCs w:val="22"/>
        </w:rPr>
        <w:t xml:space="preserve"> nebo delší</w:t>
      </w:r>
      <w:r w:rsidRPr="00357895">
        <w:rPr>
          <w:rFonts w:ascii="Arial" w:hAnsi="Arial" w:cs="Arial"/>
          <w:sz w:val="22"/>
          <w:szCs w:val="22"/>
        </w:rPr>
        <w:t xml:space="preserve"> nejpozději</w:t>
      </w:r>
      <w:r w:rsidR="004F51EF" w:rsidRPr="001B120E">
        <w:rPr>
          <w:rFonts w:ascii="Arial" w:hAnsi="Arial" w:cs="Arial"/>
          <w:color w:val="FF0000"/>
          <w:sz w:val="22"/>
          <w:szCs w:val="22"/>
        </w:rPr>
        <w:t xml:space="preserve"> </w:t>
      </w:r>
      <w:r w:rsidR="004F51EF" w:rsidRPr="00F77E67">
        <w:rPr>
          <w:rFonts w:ascii="Arial" w:hAnsi="Arial" w:cs="Arial"/>
          <w:sz w:val="22"/>
          <w:szCs w:val="22"/>
        </w:rPr>
        <w:t>v den ukončení užívání veřejného prostranství.</w:t>
      </w:r>
    </w:p>
    <w:p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4F51EF">
        <w:rPr>
          <w:rFonts w:ascii="Arial" w:hAnsi="Arial" w:cs="Arial"/>
          <w:sz w:val="22"/>
          <w:szCs w:val="22"/>
        </w:rPr>
        <w:t xml:space="preserve"> týdenní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</w:t>
      </w:r>
      <w:r w:rsidR="004F51EF">
        <w:rPr>
          <w:rFonts w:ascii="Arial" w:hAnsi="Arial" w:cs="Arial"/>
          <w:sz w:val="22"/>
          <w:szCs w:val="22"/>
        </w:rPr>
        <w:t>latný první den v příslušném týdnu</w:t>
      </w:r>
      <w:r w:rsidR="007F73B3">
        <w:rPr>
          <w:rFonts w:ascii="Arial" w:hAnsi="Arial" w:cs="Arial"/>
          <w:sz w:val="22"/>
          <w:szCs w:val="22"/>
        </w:rPr>
        <w:t>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BC2830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skládek osobami nebo organizacemi, které netrvají déle než 24 hodin v jednom měsíci.</w:t>
      </w:r>
    </w:p>
    <w:p w:rsidR="00BF7A3F" w:rsidRPr="00BC2830" w:rsidRDefault="00BC2830" w:rsidP="00BC2830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Osoba, která užívá veřejné prostranství z důvodu havárie inženýrských sítí po dobu nepřesahující 48 hodin.</w:t>
      </w:r>
    </w:p>
    <w:p w:rsidR="00BF7A3F" w:rsidRPr="00EB05E7" w:rsidRDefault="00BF7A3F" w:rsidP="00EB05E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B218D" w:rsidRPr="00BF7A3F" w:rsidRDefault="008C374C" w:rsidP="00EB05E7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05E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B05E7" w:rsidRPr="00EB05E7">
        <w:rPr>
          <w:rFonts w:ascii="Arial" w:hAnsi="Arial" w:cs="Arial"/>
          <w:sz w:val="22"/>
          <w:szCs w:val="22"/>
        </w:rPr>
        <w:t>3</w:t>
      </w:r>
      <w:r w:rsidRPr="00EB05E7">
        <w:rPr>
          <w:rFonts w:ascii="Arial" w:hAnsi="Arial" w:cs="Arial"/>
          <w:sz w:val="22"/>
          <w:szCs w:val="22"/>
        </w:rPr>
        <w:t>/</w:t>
      </w:r>
      <w:r w:rsidR="00EB05E7" w:rsidRPr="00EB05E7">
        <w:rPr>
          <w:rFonts w:ascii="Arial" w:hAnsi="Arial" w:cs="Arial"/>
          <w:sz w:val="22"/>
          <w:szCs w:val="22"/>
        </w:rPr>
        <w:t>201</w:t>
      </w:r>
      <w:r w:rsidR="00EB05E7">
        <w:rPr>
          <w:rFonts w:ascii="Arial" w:hAnsi="Arial" w:cs="Arial"/>
          <w:sz w:val="22"/>
          <w:szCs w:val="22"/>
        </w:rPr>
        <w:t>0 o místním poplatku za užívání veřejného prostranství,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EB05E7">
        <w:rPr>
          <w:rFonts w:ascii="Arial" w:hAnsi="Arial" w:cs="Arial"/>
          <w:sz w:val="22"/>
          <w:szCs w:val="22"/>
        </w:rPr>
        <w:t>e 15.12.2010.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357895" w:rsidRPr="009209C1" w:rsidRDefault="00AB218D" w:rsidP="009209C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Pr="009209C1" w:rsidRDefault="00357895" w:rsidP="009209C1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209C1">
        <w:rPr>
          <w:rFonts w:ascii="Arial" w:hAnsi="Arial" w:cs="Arial"/>
          <w:sz w:val="22"/>
          <w:szCs w:val="22"/>
        </w:rPr>
        <w:t>1.</w:t>
      </w:r>
      <w:r w:rsidR="00FE2E27">
        <w:rPr>
          <w:rFonts w:ascii="Arial" w:hAnsi="Arial" w:cs="Arial"/>
          <w:sz w:val="22"/>
          <w:szCs w:val="22"/>
        </w:rPr>
        <w:t>2</w:t>
      </w:r>
      <w:r w:rsidR="009209C1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B218D" w:rsidRDefault="00AB218D" w:rsidP="00F508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50871" w:rsidRPr="002D0857" w:rsidRDefault="00F50871" w:rsidP="00F508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9209C1">
        <w:rPr>
          <w:rFonts w:ascii="Arial" w:hAnsi="Arial" w:cs="Arial"/>
        </w:rPr>
        <w:t>Ing. Jaroslav Pazdera</w:t>
      </w:r>
      <w:r w:rsidR="001A59B3">
        <w:rPr>
          <w:rFonts w:ascii="Arial" w:hAnsi="Arial" w:cs="Arial"/>
        </w:rPr>
        <w:t xml:space="preserve"> v.r.</w:t>
      </w:r>
      <w:r w:rsidRPr="002D0857">
        <w:rPr>
          <w:rFonts w:ascii="Arial" w:hAnsi="Arial" w:cs="Arial"/>
        </w:rPr>
        <w:tab/>
      </w:r>
      <w:r w:rsidR="009209C1">
        <w:rPr>
          <w:rFonts w:ascii="Arial" w:hAnsi="Arial" w:cs="Arial"/>
        </w:rPr>
        <w:t>Ing. Jiří Servít</w:t>
      </w:r>
      <w:r w:rsidR="001A59B3">
        <w:rPr>
          <w:rFonts w:ascii="Arial" w:hAnsi="Arial" w:cs="Arial"/>
        </w:rPr>
        <w:t xml:space="preserve"> v.r.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31BB7">
        <w:rPr>
          <w:rFonts w:ascii="Arial" w:hAnsi="Arial" w:cs="Arial"/>
        </w:rPr>
        <w:t xml:space="preserve">   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starosta</w:t>
      </w:r>
    </w:p>
    <w:p w:rsidR="005F645D" w:rsidRDefault="005F645D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50871" w:rsidRDefault="00F5087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617B1" w:rsidRDefault="0069273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:rsidR="00F12535" w:rsidRDefault="00F12535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92731" w:rsidRDefault="0069273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v katastrálním území Měřín: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78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83/1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135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444</w:t>
      </w:r>
      <w:r w:rsidR="003A2A48">
        <w:rPr>
          <w:rFonts w:ascii="Arial" w:hAnsi="Arial" w:cs="Arial"/>
          <w:sz w:val="22"/>
          <w:szCs w:val="22"/>
        </w:rPr>
        <w:t>/1</w:t>
      </w:r>
    </w:p>
    <w:p w:rsidR="00692731" w:rsidRDefault="00692731" w:rsidP="00692731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1219/1</w:t>
      </w:r>
    </w:p>
    <w:p w:rsidR="00AB218D" w:rsidRPr="00E36813" w:rsidRDefault="00692731" w:rsidP="00E36813">
      <w:pPr>
        <w:numPr>
          <w:ilvl w:val="0"/>
          <w:numId w:val="27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474</w:t>
      </w:r>
      <w:r w:rsidR="003A2A48">
        <w:rPr>
          <w:rFonts w:ascii="Arial" w:hAnsi="Arial" w:cs="Arial"/>
          <w:sz w:val="22"/>
          <w:szCs w:val="22"/>
        </w:rPr>
        <w:t>/1</w:t>
      </w:r>
      <w:r w:rsidR="00342B93">
        <w:rPr>
          <w:rFonts w:ascii="Arial" w:hAnsi="Arial" w:cs="Arial"/>
          <w:sz w:val="22"/>
          <w:szCs w:val="22"/>
        </w:rPr>
        <w:t xml:space="preserve"> - část</w:t>
      </w:r>
    </w:p>
    <w:sectPr w:rsidR="00AB218D" w:rsidRPr="00E36813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52D6" w:rsidRDefault="00BB52D6">
      <w:r>
        <w:separator/>
      </w:r>
    </w:p>
  </w:endnote>
  <w:endnote w:type="continuationSeparator" w:id="0">
    <w:p w:rsidR="00BB52D6" w:rsidRDefault="00BB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52D6" w:rsidRDefault="00BB52D6">
      <w:r>
        <w:separator/>
      </w:r>
    </w:p>
  </w:footnote>
  <w:footnote w:type="continuationSeparator" w:id="0">
    <w:p w:rsidR="00BB52D6" w:rsidRDefault="00BB52D6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B31E35"/>
    <w:multiLevelType w:val="hybridMultilevel"/>
    <w:tmpl w:val="49AEF248"/>
    <w:lvl w:ilvl="0" w:tplc="C84CB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42BFB"/>
    <w:multiLevelType w:val="hybridMultilevel"/>
    <w:tmpl w:val="F4DE941C"/>
    <w:lvl w:ilvl="0" w:tplc="A7585B1E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4115551">
    <w:abstractNumId w:val="9"/>
  </w:num>
  <w:num w:numId="2" w16cid:durableId="1720397538">
    <w:abstractNumId w:val="26"/>
  </w:num>
  <w:num w:numId="3" w16cid:durableId="1658220714">
    <w:abstractNumId w:val="6"/>
  </w:num>
  <w:num w:numId="4" w16cid:durableId="2013484471">
    <w:abstractNumId w:val="17"/>
  </w:num>
  <w:num w:numId="5" w16cid:durableId="330984469">
    <w:abstractNumId w:val="16"/>
  </w:num>
  <w:num w:numId="6" w16cid:durableId="643125754">
    <w:abstractNumId w:val="21"/>
  </w:num>
  <w:num w:numId="7" w16cid:durableId="684671306">
    <w:abstractNumId w:val="11"/>
  </w:num>
  <w:num w:numId="8" w16cid:durableId="2016415669">
    <w:abstractNumId w:val="3"/>
  </w:num>
  <w:num w:numId="9" w16cid:durableId="1448545765">
    <w:abstractNumId w:val="20"/>
  </w:num>
  <w:num w:numId="10" w16cid:durableId="794759305">
    <w:abstractNumId w:val="10"/>
  </w:num>
  <w:num w:numId="11" w16cid:durableId="35392757">
    <w:abstractNumId w:val="22"/>
  </w:num>
  <w:num w:numId="12" w16cid:durableId="1132482803">
    <w:abstractNumId w:val="12"/>
  </w:num>
  <w:num w:numId="13" w16cid:durableId="1201430529">
    <w:abstractNumId w:val="7"/>
  </w:num>
  <w:num w:numId="14" w16cid:durableId="1422029118">
    <w:abstractNumId w:val="4"/>
  </w:num>
  <w:num w:numId="15" w16cid:durableId="346686400">
    <w:abstractNumId w:val="1"/>
  </w:num>
  <w:num w:numId="16" w16cid:durableId="52124199">
    <w:abstractNumId w:val="24"/>
  </w:num>
  <w:num w:numId="17" w16cid:durableId="1547522482">
    <w:abstractNumId w:val="14"/>
  </w:num>
  <w:num w:numId="18" w16cid:durableId="1658000199">
    <w:abstractNumId w:val="0"/>
  </w:num>
  <w:num w:numId="19" w16cid:durableId="1184396376">
    <w:abstractNumId w:val="25"/>
  </w:num>
  <w:num w:numId="20" w16cid:durableId="838083884">
    <w:abstractNumId w:val="18"/>
  </w:num>
  <w:num w:numId="21" w16cid:durableId="1204440029">
    <w:abstractNumId w:val="15"/>
  </w:num>
  <w:num w:numId="22" w16cid:durableId="83257469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4950036">
    <w:abstractNumId w:val="2"/>
  </w:num>
  <w:num w:numId="24" w16cid:durableId="944459307">
    <w:abstractNumId w:val="5"/>
  </w:num>
  <w:num w:numId="25" w16cid:durableId="224878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7695037">
    <w:abstractNumId w:val="23"/>
  </w:num>
  <w:num w:numId="27" w16cid:durableId="2107188544">
    <w:abstractNumId w:val="8"/>
  </w:num>
  <w:num w:numId="28" w16cid:durableId="988098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071C"/>
    <w:rsid w:val="00032EB2"/>
    <w:rsid w:val="000362ED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06F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85E2D"/>
    <w:rsid w:val="001A59B3"/>
    <w:rsid w:val="001B120E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6846"/>
    <w:rsid w:val="00237AD7"/>
    <w:rsid w:val="002417D6"/>
    <w:rsid w:val="00244A6D"/>
    <w:rsid w:val="00245566"/>
    <w:rsid w:val="00246E09"/>
    <w:rsid w:val="0024722A"/>
    <w:rsid w:val="00261607"/>
    <w:rsid w:val="00264C98"/>
    <w:rsid w:val="002820C3"/>
    <w:rsid w:val="00282EFC"/>
    <w:rsid w:val="002A3806"/>
    <w:rsid w:val="002B4293"/>
    <w:rsid w:val="002B769D"/>
    <w:rsid w:val="002C0F41"/>
    <w:rsid w:val="002C7F09"/>
    <w:rsid w:val="002D0857"/>
    <w:rsid w:val="002D6C62"/>
    <w:rsid w:val="002E0717"/>
    <w:rsid w:val="002E727F"/>
    <w:rsid w:val="002E7A23"/>
    <w:rsid w:val="00300F46"/>
    <w:rsid w:val="00320CEB"/>
    <w:rsid w:val="0032333A"/>
    <w:rsid w:val="003311FD"/>
    <w:rsid w:val="00331BB7"/>
    <w:rsid w:val="00331C2D"/>
    <w:rsid w:val="00333F56"/>
    <w:rsid w:val="0033491B"/>
    <w:rsid w:val="00342B93"/>
    <w:rsid w:val="00342FFD"/>
    <w:rsid w:val="00346B84"/>
    <w:rsid w:val="00356764"/>
    <w:rsid w:val="00357895"/>
    <w:rsid w:val="00362C86"/>
    <w:rsid w:val="003757EA"/>
    <w:rsid w:val="00390716"/>
    <w:rsid w:val="003A0EFD"/>
    <w:rsid w:val="003A1269"/>
    <w:rsid w:val="003A2A48"/>
    <w:rsid w:val="003B022D"/>
    <w:rsid w:val="003B7989"/>
    <w:rsid w:val="003C5034"/>
    <w:rsid w:val="003C5418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6222"/>
    <w:rsid w:val="00437160"/>
    <w:rsid w:val="00441261"/>
    <w:rsid w:val="00444302"/>
    <w:rsid w:val="00447F0E"/>
    <w:rsid w:val="00450251"/>
    <w:rsid w:val="004517C2"/>
    <w:rsid w:val="00455816"/>
    <w:rsid w:val="004617B1"/>
    <w:rsid w:val="00463243"/>
    <w:rsid w:val="00466601"/>
    <w:rsid w:val="0047255E"/>
    <w:rsid w:val="004733F1"/>
    <w:rsid w:val="00473639"/>
    <w:rsid w:val="00474AFD"/>
    <w:rsid w:val="00487C86"/>
    <w:rsid w:val="004A2F6B"/>
    <w:rsid w:val="004A5767"/>
    <w:rsid w:val="004B15E3"/>
    <w:rsid w:val="004B5663"/>
    <w:rsid w:val="004C0F9A"/>
    <w:rsid w:val="004D01DB"/>
    <w:rsid w:val="004D742F"/>
    <w:rsid w:val="004E090F"/>
    <w:rsid w:val="004E2716"/>
    <w:rsid w:val="004E3578"/>
    <w:rsid w:val="004E6313"/>
    <w:rsid w:val="004F2551"/>
    <w:rsid w:val="004F51EF"/>
    <w:rsid w:val="004F7518"/>
    <w:rsid w:val="00500D60"/>
    <w:rsid w:val="00510405"/>
    <w:rsid w:val="005113E8"/>
    <w:rsid w:val="00514BC5"/>
    <w:rsid w:val="00516744"/>
    <w:rsid w:val="005325F5"/>
    <w:rsid w:val="00535561"/>
    <w:rsid w:val="0054071F"/>
    <w:rsid w:val="00541741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B31"/>
    <w:rsid w:val="005E4F68"/>
    <w:rsid w:val="005E548E"/>
    <w:rsid w:val="005F1C19"/>
    <w:rsid w:val="005F20A8"/>
    <w:rsid w:val="005F5BBA"/>
    <w:rsid w:val="005F645D"/>
    <w:rsid w:val="006008D7"/>
    <w:rsid w:val="006016FC"/>
    <w:rsid w:val="00602545"/>
    <w:rsid w:val="00602A6C"/>
    <w:rsid w:val="006044D2"/>
    <w:rsid w:val="00604D15"/>
    <w:rsid w:val="006062BB"/>
    <w:rsid w:val="0060728A"/>
    <w:rsid w:val="006212E1"/>
    <w:rsid w:val="00624723"/>
    <w:rsid w:val="006266D7"/>
    <w:rsid w:val="00632B54"/>
    <w:rsid w:val="006343E9"/>
    <w:rsid w:val="00637560"/>
    <w:rsid w:val="006375E8"/>
    <w:rsid w:val="006404C8"/>
    <w:rsid w:val="00641107"/>
    <w:rsid w:val="0065177A"/>
    <w:rsid w:val="00651EEA"/>
    <w:rsid w:val="00671064"/>
    <w:rsid w:val="00684B57"/>
    <w:rsid w:val="00692731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3E2D"/>
    <w:rsid w:val="0073282B"/>
    <w:rsid w:val="00746792"/>
    <w:rsid w:val="00750D57"/>
    <w:rsid w:val="00752599"/>
    <w:rsid w:val="007574A5"/>
    <w:rsid w:val="007614A6"/>
    <w:rsid w:val="00763331"/>
    <w:rsid w:val="00764D3F"/>
    <w:rsid w:val="00764F5D"/>
    <w:rsid w:val="0077128F"/>
    <w:rsid w:val="00777B53"/>
    <w:rsid w:val="00781EC6"/>
    <w:rsid w:val="0078444D"/>
    <w:rsid w:val="0078620F"/>
    <w:rsid w:val="00786241"/>
    <w:rsid w:val="00793F7C"/>
    <w:rsid w:val="007A3595"/>
    <w:rsid w:val="007B139A"/>
    <w:rsid w:val="007B2C89"/>
    <w:rsid w:val="007C6025"/>
    <w:rsid w:val="007C70AD"/>
    <w:rsid w:val="007C7BD4"/>
    <w:rsid w:val="007D096B"/>
    <w:rsid w:val="007D14CD"/>
    <w:rsid w:val="007D287A"/>
    <w:rsid w:val="007D3CBD"/>
    <w:rsid w:val="007E1269"/>
    <w:rsid w:val="007E1DB2"/>
    <w:rsid w:val="007E66AA"/>
    <w:rsid w:val="007F2253"/>
    <w:rsid w:val="007F73B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209C1"/>
    <w:rsid w:val="009350D2"/>
    <w:rsid w:val="00945F0D"/>
    <w:rsid w:val="00946A28"/>
    <w:rsid w:val="00953534"/>
    <w:rsid w:val="00960B53"/>
    <w:rsid w:val="0096684D"/>
    <w:rsid w:val="009671FD"/>
    <w:rsid w:val="0097030C"/>
    <w:rsid w:val="00970CDB"/>
    <w:rsid w:val="009838AB"/>
    <w:rsid w:val="00984297"/>
    <w:rsid w:val="00993068"/>
    <w:rsid w:val="00993790"/>
    <w:rsid w:val="00997360"/>
    <w:rsid w:val="009A2556"/>
    <w:rsid w:val="009A5EDC"/>
    <w:rsid w:val="009B5917"/>
    <w:rsid w:val="009C19DA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02C6"/>
    <w:rsid w:val="00AB218D"/>
    <w:rsid w:val="00AB3118"/>
    <w:rsid w:val="00AB69AB"/>
    <w:rsid w:val="00AD1ADC"/>
    <w:rsid w:val="00AE1D36"/>
    <w:rsid w:val="00AE6BEB"/>
    <w:rsid w:val="00AF139C"/>
    <w:rsid w:val="00B037E3"/>
    <w:rsid w:val="00B103EF"/>
    <w:rsid w:val="00B1791A"/>
    <w:rsid w:val="00B224DE"/>
    <w:rsid w:val="00B228CC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560E"/>
    <w:rsid w:val="00BB2BC4"/>
    <w:rsid w:val="00BB4552"/>
    <w:rsid w:val="00BB5136"/>
    <w:rsid w:val="00BB52D6"/>
    <w:rsid w:val="00BC2830"/>
    <w:rsid w:val="00BC55D3"/>
    <w:rsid w:val="00BC7D23"/>
    <w:rsid w:val="00BD0E0E"/>
    <w:rsid w:val="00BF7A3F"/>
    <w:rsid w:val="00C027CC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C737F"/>
    <w:rsid w:val="00CD292B"/>
    <w:rsid w:val="00CD766B"/>
    <w:rsid w:val="00CE1E08"/>
    <w:rsid w:val="00CE73FD"/>
    <w:rsid w:val="00CE76EE"/>
    <w:rsid w:val="00D005D2"/>
    <w:rsid w:val="00D01EC6"/>
    <w:rsid w:val="00D0505C"/>
    <w:rsid w:val="00D05131"/>
    <w:rsid w:val="00D15693"/>
    <w:rsid w:val="00D15D96"/>
    <w:rsid w:val="00D25CF9"/>
    <w:rsid w:val="00D279B1"/>
    <w:rsid w:val="00D30B06"/>
    <w:rsid w:val="00D322C1"/>
    <w:rsid w:val="00D412EB"/>
    <w:rsid w:val="00D45DCE"/>
    <w:rsid w:val="00D53746"/>
    <w:rsid w:val="00D55E44"/>
    <w:rsid w:val="00D565A7"/>
    <w:rsid w:val="00D57D3B"/>
    <w:rsid w:val="00D71E50"/>
    <w:rsid w:val="00D7413C"/>
    <w:rsid w:val="00D843E1"/>
    <w:rsid w:val="00D95E7D"/>
    <w:rsid w:val="00DB75BC"/>
    <w:rsid w:val="00DC243C"/>
    <w:rsid w:val="00DC3796"/>
    <w:rsid w:val="00DD5D09"/>
    <w:rsid w:val="00DD7E7C"/>
    <w:rsid w:val="00DE3BF3"/>
    <w:rsid w:val="00DF1C35"/>
    <w:rsid w:val="00DF3E59"/>
    <w:rsid w:val="00E041FD"/>
    <w:rsid w:val="00E209A8"/>
    <w:rsid w:val="00E24274"/>
    <w:rsid w:val="00E36813"/>
    <w:rsid w:val="00E53492"/>
    <w:rsid w:val="00E53FF5"/>
    <w:rsid w:val="00E633C4"/>
    <w:rsid w:val="00E64DF2"/>
    <w:rsid w:val="00E67D93"/>
    <w:rsid w:val="00E8103B"/>
    <w:rsid w:val="00E814C3"/>
    <w:rsid w:val="00E83E36"/>
    <w:rsid w:val="00E938E8"/>
    <w:rsid w:val="00E97A8E"/>
    <w:rsid w:val="00EA5B74"/>
    <w:rsid w:val="00EA5EC5"/>
    <w:rsid w:val="00EB05E7"/>
    <w:rsid w:val="00EC42D7"/>
    <w:rsid w:val="00EC65FC"/>
    <w:rsid w:val="00EE0D68"/>
    <w:rsid w:val="00EE0E0F"/>
    <w:rsid w:val="00EF60A3"/>
    <w:rsid w:val="00F00AD9"/>
    <w:rsid w:val="00F0217B"/>
    <w:rsid w:val="00F03F40"/>
    <w:rsid w:val="00F10C3B"/>
    <w:rsid w:val="00F12535"/>
    <w:rsid w:val="00F126DC"/>
    <w:rsid w:val="00F15EBC"/>
    <w:rsid w:val="00F300A9"/>
    <w:rsid w:val="00F31CB3"/>
    <w:rsid w:val="00F412F6"/>
    <w:rsid w:val="00F44970"/>
    <w:rsid w:val="00F50871"/>
    <w:rsid w:val="00F57F0E"/>
    <w:rsid w:val="00F651F2"/>
    <w:rsid w:val="00F77E67"/>
    <w:rsid w:val="00F80245"/>
    <w:rsid w:val="00F96128"/>
    <w:rsid w:val="00FA13E1"/>
    <w:rsid w:val="00FA1D78"/>
    <w:rsid w:val="00FB0085"/>
    <w:rsid w:val="00FC0733"/>
    <w:rsid w:val="00FC302A"/>
    <w:rsid w:val="00FE2E2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2CAD-3319-4FCC-B4BE-06014AA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E4B1-87F6-4AB0-82DE-39F84ED6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Janečková</cp:lastModifiedBy>
  <cp:revision>2</cp:revision>
  <cp:lastPrinted>2010-06-16T12:17:00Z</cp:lastPrinted>
  <dcterms:created xsi:type="dcterms:W3CDTF">2022-12-21T07:14:00Z</dcterms:created>
  <dcterms:modified xsi:type="dcterms:W3CDTF">2022-12-21T07:14:00Z</dcterms:modified>
</cp:coreProperties>
</file>