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Město Nové Město na Moravě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města Nové Město na Moravě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Obecně závazná vyhláška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města Nové Město na Moravě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 místním poplatku za užívání veřejného prostranství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města Nové Město na Moravě se na svém zasedání dne 04.12.2023 usnesením č. 7/7/ZM/2023 usneslo vydat na základě § 14 zákona č. 565/1990 Sb.,</w:t>
        <w:br/>
        <w:t xml:space="preserve">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Úvodní ustanovení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Město Nové Město na Moravě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městský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 poplatku a poplatník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Čl. 3  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Veřejná prostranství 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40" w:before="0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platí za užívání veřejných prostranství, která jsou graficky vyznačena na mapách v příloze č. 1 této vyhlášky. Tato příloha tvoří nedílnou součást této vyhlášky.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564" w:leader="none"/>
        </w:tabs>
        <w:suppressAutoHyphens w:val="true"/>
        <w:bidi w:val="0"/>
        <w:spacing w:lineRule="auto" w:line="240" w:before="0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Veřejná prostranství dle čl. 3 odst. 1 této vyhlášky jsou pro účely této vyhlášky rozdělena do dvou skupin: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skupina: centrum města Nové Město na Moravě – Palackého náměstí, Vratislavovo náměstí, Komenského náměstí, Masarykova ulice,</w:t>
      </w:r>
    </w:p>
    <w:p>
      <w:pPr>
        <w:pStyle w:val="Normal"/>
        <w:widowControl/>
        <w:numPr>
          <w:ilvl w:val="1"/>
          <w:numId w:val="7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  <w:shd w:fill="auto" w:val="clear"/>
        </w:rPr>
        <w:t>skupina: ostatní území města Nové Město na Moravě a místní části Nového Města na Moravě (Hlinné, Jiříkovice, Maršovice, Olešná, Petrovice, Pohledec, Rokytno, Slavkovice, Studnice).</w:t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Ohlašovací povinnost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podat ohlášení nejpozději 7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5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</w:t>
      </w:r>
    </w:p>
    <w:p>
      <w:pPr>
        <w:pStyle w:val="Normal"/>
        <w:tabs>
          <w:tab w:val="clear" w:pos="708"/>
          <w:tab w:val="left" w:pos="6516" w:leader="none"/>
          <w:tab w:val="left" w:pos="7932" w:leader="none"/>
        </w:tabs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I. skupina </w:t>
        <w:tab/>
        <w:t>II. skupina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0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provádění výkopových prací:</w:t>
      </w:r>
    </w:p>
    <w:p>
      <w:pPr>
        <w:pStyle w:val="Normal"/>
        <w:widowControl/>
        <w:tabs>
          <w:tab w:val="clear" w:pos="708"/>
          <w:tab w:val="left" w:pos="852" w:leader="none"/>
          <w:tab w:val="left" w:pos="6521" w:leader="none"/>
          <w:tab w:val="left" w:pos="7932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na zpevněných plochách (např. chodníky...)</w:t>
        <w:tab/>
        <w:t>10 Kč</w:t>
        <w:tab/>
        <w:t>10 Kč</w:t>
      </w:r>
    </w:p>
    <w:p>
      <w:pPr>
        <w:pStyle w:val="Normal"/>
        <w:widowControl/>
        <w:tabs>
          <w:tab w:val="clear" w:pos="708"/>
          <w:tab w:val="left" w:pos="852" w:leader="none"/>
          <w:tab w:val="left" w:pos="6521" w:leader="none"/>
          <w:tab w:val="left" w:pos="8220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na ostatních plochách veřejného prostranství</w:t>
        <w:tab/>
        <w:t>5 Kč</w:t>
        <w:tab/>
        <w:t>4 Kč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564" w:leader="none"/>
        </w:tabs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sloužících pro poskytování prodeje: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852" w:leader="none"/>
          <w:tab w:val="left" w:pos="6521" w:leader="none"/>
          <w:tab w:val="left" w:pos="7932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stánkový prodej nebo přímo z vozidla</w:t>
        <w:tab/>
        <w:t>40 Kč</w:t>
        <w:tab/>
        <w:t>30 Kč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sloužících pro poskytování prodeje při pouti, trzích, jarmarcích pořádaných městem Nové Město na Moravě:</w:t>
      </w:r>
    </w:p>
    <w:p>
      <w:pPr>
        <w:pStyle w:val="Normal"/>
        <w:widowControl/>
        <w:tabs>
          <w:tab w:val="clear" w:pos="708"/>
          <w:tab w:val="left" w:pos="852" w:leader="none"/>
          <w:tab w:val="left" w:pos="6521" w:leader="none"/>
          <w:tab w:val="left" w:pos="7932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stánkový prodej při komerčních a řemeslných trzích</w:t>
        <w:tab/>
        <w:t>50 Kč</w:t>
        <w:tab/>
        <w:t>40 Kč</w:t>
      </w:r>
    </w:p>
    <w:p>
      <w:pPr>
        <w:pStyle w:val="Normal"/>
        <w:widowControl/>
        <w:tabs>
          <w:tab w:val="clear" w:pos="708"/>
          <w:tab w:val="left" w:pos="852" w:leader="none"/>
          <w:tab w:val="left" w:pos="6521" w:leader="none"/>
          <w:tab w:val="left" w:pos="7932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stánkový prodej při farmářských trzích</w:t>
        <w:tab/>
        <w:t>20 Kč</w:t>
        <w:tab/>
        <w:t>20 Kč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umístění dočasného zařízení k poskytování služeb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516" w:leader="none"/>
          <w:tab w:val="left" w:pos="7920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(např. čištění peří, opravy deštníků, broušení nářadí...)</w:t>
        <w:tab/>
        <w:t>10 Kč</w:t>
        <w:tab/>
        <w:t>7 Kč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reklamního zařízení: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852" w:leader="none"/>
          <w:tab w:val="left" w:pos="6521" w:leader="none"/>
          <w:tab w:val="left" w:pos="7932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přenosná zařízení umístěná na ploše</w:t>
        <w:tab/>
      </w:r>
      <w:r>
        <w:rPr>
          <w:rFonts w:cs="Arial" w:ascii="Arial" w:hAnsi="Arial"/>
          <w:sz w:val="22"/>
          <w:szCs w:val="22"/>
          <w:shd w:fill="auto" w:val="clear"/>
        </w:rPr>
        <w:t>50 Kč</w:t>
        <w:tab/>
        <w:t>40 Kč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za umístění zařízení lunaparků a jiných obdobných atrakcí: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852" w:leader="none"/>
          <w:tab w:val="left" w:pos="6521" w:leader="none"/>
          <w:tab w:val="left" w:pos="7932" w:leader="none"/>
        </w:tabs>
        <w:suppressAutoHyphens w:val="true"/>
        <w:bidi w:val="0"/>
        <w:spacing w:lineRule="auto" w:line="240" w:before="57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při pouti nebo v rámci samostatné akce</w:t>
        <w:tab/>
        <w:t>10 Kč</w:t>
        <w:tab/>
        <w:t>7 Kč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6516" w:leader="none"/>
          <w:tab w:val="left" w:pos="7932" w:leader="none"/>
        </w:tabs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za umístění zařízení cirkusu:</w:t>
        <w:tab/>
        <w:t>------</w:t>
        <w:tab/>
        <w:t>7 Kč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za umístění dočasných skládek různých materiálů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504" w:leader="none"/>
          <w:tab w:val="left" w:pos="7932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(např. stavební materiál i ostatní materiál...)</w:t>
        <w:tab/>
        <w:t xml:space="preserve">10 Kč </w:t>
        <w:tab/>
        <w:t>8 Kč</w:t>
      </w:r>
    </w:p>
    <w:p>
      <w:pPr>
        <w:pStyle w:val="Normal"/>
        <w:widowControl/>
        <w:numPr>
          <w:ilvl w:val="0"/>
          <w:numId w:val="9"/>
        </w:numPr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za umístění dočasných stavebních zařízení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504" w:leader="none"/>
          <w:tab w:val="left" w:pos="7932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(např. stavební stroje a zařízení stavenišť, lešení,,,)</w:t>
        <w:tab/>
        <w:t>8 Kč</w:t>
        <w:tab/>
        <w:t>6 Kč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42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6521" w:leader="none"/>
          <w:tab w:val="left" w:pos="8080" w:leader="none"/>
        </w:tabs>
        <w:suppressAutoHyphens w:val="true"/>
        <w:bidi w:val="0"/>
        <w:spacing w:lineRule="auto" w:line="240" w:before="0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j)</w:t>
        <w:tab/>
        <w:t xml:space="preserve">za užívání veřejného prostranství pro pořádání kulturních </w:t>
      </w:r>
    </w:p>
    <w:p>
      <w:pPr>
        <w:pStyle w:val="Normal"/>
        <w:widowControl/>
        <w:tabs>
          <w:tab w:val="clear" w:pos="708"/>
          <w:tab w:val="left" w:pos="6521" w:leader="none"/>
          <w:tab w:val="left" w:pos="7932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a sportovních akcí se vstupným</w:t>
        <w:tab/>
        <w:t>5 Kč</w:t>
        <w:tab/>
        <w:t>3 Kč</w:t>
      </w:r>
    </w:p>
    <w:p>
      <w:pPr>
        <w:pStyle w:val="Normal"/>
        <w:widowControl/>
        <w:tabs>
          <w:tab w:val="clear" w:pos="708"/>
          <w:tab w:val="left" w:pos="6521" w:leader="none"/>
          <w:tab w:val="left" w:pos="7932" w:leader="none"/>
        </w:tabs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k)</w:t>
        <w:tab/>
        <w:t>za užívání veřejného prostranství pro pořádání reklamních akcí 10 Kč</w:t>
        <w:tab/>
        <w:t>10 Kč</w:t>
      </w:r>
    </w:p>
    <w:p>
      <w:pPr>
        <w:pStyle w:val="Normal"/>
        <w:widowControl/>
        <w:tabs>
          <w:tab w:val="clear" w:pos="708"/>
          <w:tab w:val="left" w:pos="6521" w:leader="none"/>
          <w:tab w:val="left" w:pos="8080" w:leader="none"/>
        </w:tabs>
        <w:suppressAutoHyphens w:val="true"/>
        <w:bidi w:val="0"/>
        <w:spacing w:lineRule="auto" w:line="240" w:before="113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l)</w:t>
        <w:tab/>
        <w:t>za užívání veřejného prostranství pro potřeby tvorby filmových</w:t>
      </w:r>
    </w:p>
    <w:p>
      <w:pPr>
        <w:pStyle w:val="Normal"/>
        <w:widowControl/>
        <w:tabs>
          <w:tab w:val="clear" w:pos="708"/>
          <w:tab w:val="left" w:pos="6521" w:leader="none"/>
          <w:tab w:val="left" w:pos="7932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a televizních děl</w:t>
        <w:tab/>
        <w:t>10 Kč</w:t>
        <w:tab/>
        <w:t>10 Kč.</w:t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6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Splatnost poplatku 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ve stanovené výši je splatný:</w:t>
      </w:r>
    </w:p>
    <w:p>
      <w:pPr>
        <w:pStyle w:val="Normal"/>
        <w:widowControl/>
        <w:numPr>
          <w:ilvl w:val="1"/>
          <w:numId w:val="4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kratší 3 dnů nejpozději v den ukončení užívání veřejného prostranství,</w:t>
      </w:r>
    </w:p>
    <w:p>
      <w:pPr>
        <w:pStyle w:val="Normal"/>
        <w:widowControl/>
        <w:numPr>
          <w:ilvl w:val="1"/>
          <w:numId w:val="4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3 dnů nebo delší nejpozději do 7 dnů od ukončení užívání veřejného prostranství.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Osvobození 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widowControl/>
        <w:numPr>
          <w:ilvl w:val="0"/>
          <w:numId w:val="11"/>
        </w:numPr>
        <w:suppressAutoHyphens w:val="true"/>
        <w:bidi w:val="0"/>
        <w:spacing w:lineRule="auto" w:line="240" w:before="113" w:after="0"/>
        <w:ind w:left="964" w:right="0" w:hanging="397"/>
        <w:jc w:val="both"/>
        <w:rPr/>
      </w:pPr>
      <w:r>
        <w:rPr>
          <w:rFonts w:cs="Arial" w:ascii="Arial" w:hAnsi="Arial"/>
          <w:sz w:val="22"/>
          <w:szCs w:val="22"/>
        </w:rPr>
        <w:t>za vyhrazení trvalého parkovacího místa pro osobu, která je držitelem průkazu ZTP nebo ZTP/P</w:t>
      </w:r>
      <w:r>
        <w:rPr>
          <w:rStyle w:val="Znakypropoznmkupodarou"/>
          <w:rFonts w:cs="Arial" w:ascii="Arial" w:hAnsi="Arial"/>
          <w:sz w:val="22"/>
          <w:szCs w:val="22"/>
        </w:rPr>
        <w:t xml:space="preserve"> 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widowControl/>
        <w:numPr>
          <w:ilvl w:val="0"/>
          <w:numId w:val="11"/>
        </w:numPr>
        <w:suppressAutoHyphens w:val="true"/>
        <w:bidi w:val="0"/>
        <w:spacing w:lineRule="auto" w:line="240" w:before="113" w:after="0"/>
        <w:ind w:left="964" w:right="0" w:hanging="397"/>
        <w:jc w:val="both"/>
        <w:rPr/>
      </w:pPr>
      <w:r>
        <w:rPr>
          <w:rFonts w:cs="Arial" w:ascii="Arial" w:hAnsi="Arial"/>
          <w:sz w:val="22"/>
          <w:szCs w:val="22"/>
        </w:rPr>
        <w:t>z akcí pořádaných na veřejném prostranství, jejichž celý výtěžek je odveden na charitativní a veřejně prospěšné účely</w:t>
      </w:r>
      <w:r>
        <w:rPr>
          <w:rStyle w:val="Znakypropoznmkupodarou"/>
          <w:rFonts w:cs="Arial" w:ascii="Arial" w:hAnsi="Arial"/>
          <w:sz w:val="22"/>
          <w:szCs w:val="22"/>
        </w:rPr>
        <w:t xml:space="preserve"> 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Od poplatku se dále osvobozují: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kulturní, sportovní a náboženské akce pořádané na veřejném prostranství bez vstupného,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lešení, které je průchodné v celé jeho délce a v minimální šíři 1,5 m nebo které umožňuje průchod chodníku ve stejné minimální šíři a které není postaveno déle než 14 dnů,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jednoho přenosného reklamního zařízení s nabídkou vlastních výrobků nebo služeb před vlastní provozovnou, pokud nezabírá plochu větší než 1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umožňuje průchod chodcům v minimální šíři 2,0 m,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pohostinské zahrádky před vlastní provozovnou, umístění prodejního pultu a vystavení prodávaného zboží před vlastní provozovnou, pokud nezabírá plochu větší než 8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umožňuje průchod chodcům v minimální šíři 2,0 m,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stánku s vlastními výrobky a předváděním tradičních lidových řemesel při pořádání jarmarku v rámci oslav města Nova Civitas a Slavností medu,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Vodárenská akciová společnost, a.s., IČ: 49455842, se sídlem Soběšická 820/156, 638 01 Brno, divize Žďár nad Sázavou, Studentská 1133, 591 01 Žďár nad Sázavou, při provádění všech prací, potřebných pro provoz, údržbu a opravy vodovodní a kanalizační sítě, maximálně však po dobu 10 pracovních dnů,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Svaz vodovodů a kanalizací Žďársko, se sídlem Vodárenská 2, 591 01 Žďár nad Sázavou, včetně jeho dodavatelů, při provádění investičních a rekonstrukčních staveb v rámci budování a údržby vodovodní a kanalizační sítě, maximálně však po dobu 10 pracovních dnů,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spacing w:lineRule="auto" w:line="240" w:before="113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Město Nové Město na Moravě a organizace zřízené či založené městem, včetně jejich dodavatelů, při provádění stavebních prací pro investiční a údržbové akce, jejichž jsou investorem.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64" w:right="0" w:hanging="39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67" w:right="0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8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Přechodné a zrušovací ustanovení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6</w:t>
      </w:r>
      <w:r>
        <w:rPr>
          <w:rFonts w:cs="Arial" w:ascii="Arial" w:hAnsi="Arial"/>
          <w:i/>
          <w:sz w:val="22"/>
          <w:szCs w:val="22"/>
        </w:rPr>
        <w:t>/</w:t>
      </w:r>
      <w:r>
        <w:rPr>
          <w:rFonts w:cs="Arial" w:ascii="Arial" w:hAnsi="Arial"/>
          <w:i w:val="false"/>
          <w:iCs w:val="false"/>
          <w:sz w:val="22"/>
          <w:szCs w:val="22"/>
        </w:rPr>
        <w:t>2014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o místním poplatku za užívání veřejného prostranství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 15.12.2014</w:t>
      </w:r>
      <w:r>
        <w:rPr>
          <w:rFonts w:cs="Arial" w:ascii="Arial" w:hAnsi="Arial"/>
          <w:i/>
          <w:sz w:val="22"/>
          <w:szCs w:val="22"/>
        </w:rPr>
        <w:t>.</w:t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Sla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9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01.01.2024</w:t>
      </w:r>
    </w:p>
    <w:p>
      <w:pPr>
        <w:pStyle w:val="Nzvylnk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lineRule="auto" w:line="240"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3288" w:leader="none"/>
          <w:tab w:val="left" w:pos="6576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…</w:t>
      </w:r>
      <w:r>
        <w:rPr>
          <w:rFonts w:cs="Arial" w:ascii="Arial" w:hAnsi="Arial"/>
          <w:i/>
          <w:sz w:val="22"/>
          <w:szCs w:val="22"/>
        </w:rPr>
        <w:t>................................…</w:t>
        <w:tab/>
        <w:t>…................................…</w:t>
        <w:tab/>
        <w:t>…................................…</w:t>
      </w:r>
    </w:p>
    <w:p>
      <w:pPr>
        <w:pStyle w:val="Tlotextu"/>
        <w:tabs>
          <w:tab w:val="clear" w:pos="708"/>
          <w:tab w:val="center" w:pos="1248" w:leader="none"/>
          <w:tab w:val="center" w:pos="4596" w:leader="none"/>
          <w:tab w:val="center" w:pos="7824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Michal Šmarda, v. r.</w:t>
        <w:tab/>
        <w:t>Stanislav Marek, v. r.</w:t>
        <w:tab/>
        <w:t>Bc. Jaroslav Lempera, v. r.</w:t>
      </w:r>
    </w:p>
    <w:p>
      <w:pPr>
        <w:pStyle w:val="Tlotextu"/>
        <w:tabs>
          <w:tab w:val="clear" w:pos="708"/>
          <w:tab w:val="center" w:pos="1248" w:leader="none"/>
          <w:tab w:val="center" w:pos="4596" w:leader="none"/>
          <w:tab w:val="center" w:pos="7824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Starosta</w:t>
        <w:tab/>
        <w:t>místostarosta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sz w:val="16"/>
        <w:szCs w:val="16"/>
      </w:rPr>
    </w:pP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 xml:space="preserve"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2</w:t>
    </w:r>
    <w:r>
      <w:rPr>
        <w:sz w:val="16"/>
        <w:szCs w:val="16"/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§ 4 odst. 1 zákona o místních poplatcích</w:t>
      </w:r>
    </w:p>
  </w:footnote>
  <w:footnote w:id="4">
    <w:p>
      <w:pPr>
        <w:pStyle w:val="Poznmkapodarou"/>
        <w:widowControl/>
        <w:suppressAutoHyphens w:val="true"/>
        <w:bidi w:val="0"/>
        <w:spacing w:before="0" w:after="0"/>
        <w:ind w:left="0" w:right="0" w:hanging="0"/>
        <w:jc w:val="both"/>
        <w:rPr>
          <w:rFonts w:ascii="Arial" w:hAnsi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§ 14a odst. 1 a 2 zákona o místních poplatcích; v ohlášení poplatník uvede zejména své identifikační údaje a</w:t>
      </w:r>
      <w:r>
        <w:rPr/>
        <w:t> </w:t>
      </w:r>
      <w:r>
        <w:rPr>
          <w:rFonts w:cs="Arial"/>
          <w:sz w:val="18"/>
          <w:szCs w:val="18"/>
        </w:rPr>
        <w:t>skutečnosti rozhodné pro stanovení poplatku</w:t>
      </w:r>
    </w:p>
  </w:footnote>
  <w:footnote w:id="6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§ 14a odst. 4 zákona o místních poplatcích</w:t>
      </w:r>
    </w:p>
  </w:footnote>
  <w:footnote w:id="7">
    <w:p>
      <w:pPr>
        <w:pStyle w:val="Poznmkapodarou"/>
        <w:tabs>
          <w:tab w:val="clear" w:pos="708"/>
          <w:tab w:val="left" w:pos="284" w:leader="none"/>
        </w:tabs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cs="Arial"/>
          <w:sz w:val="18"/>
          <w:szCs w:val="18"/>
        </w:rPr>
        <w:t>§ 4 odst. 3 zákona o místních poplatcích</w:t>
      </w:r>
    </w:p>
  </w:footnote>
  <w:footnote w:id="8">
    <w:p>
      <w:pPr>
        <w:pStyle w:val="Poznmkapodarou"/>
        <w:tabs>
          <w:tab w:val="clear" w:pos="708"/>
          <w:tab w:val="left" w:pos="284" w:leader="none"/>
        </w:tabs>
        <w:rPr/>
      </w:pPr>
      <w:r>
        <w:rPr>
          <w:rStyle w:val="Znakypropoznmkupodarou"/>
        </w:rPr>
        <w:footnoteRef/>
      </w:r>
      <w:r>
        <w:rPr/>
        <w:tab/>
      </w:r>
      <w:r>
        <w:rPr>
          <w:rFonts w:cs="Arial"/>
          <w:sz w:val="18"/>
          <w:szCs w:val="18"/>
        </w:rPr>
        <w:t>§ 4 odst. 1 zákona o místních poplatcích</w:t>
      </w:r>
    </w:p>
  </w:footnote>
  <w:footnote w:id="9">
    <w:p>
      <w:pPr>
        <w:pStyle w:val="Poznmkapodarou"/>
        <w:jc w:val="both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3"/>
    <w:lvlOverride w:ilvl="0">
      <w:startOverride w:val="1"/>
    </w:lvlOverride>
  </w:num>
  <w:num w:numId="18">
    <w:abstractNumId w:val="13"/>
  </w:num>
  <w:num w:numId="19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Arial" w:hAnsi="Arial"/>
      <w:color w:val="auto"/>
      <w:kern w:val="0"/>
      <w:sz w:val="22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d01f2f"/>
    <w:rPr>
      <w:rFonts w:ascii="Calibri" w:hAnsi="Calibri" w:eastAsia="Calibri"/>
      <w:sz w:val="22"/>
      <w:szCs w:val="22"/>
      <w:lang w:eastAsia="en-US"/>
    </w:rPr>
  </w:style>
  <w:style w:type="character" w:styleId="Znakypropoznmkupodarou">
    <w:name w:val="Znaky pro poznámku pod čarou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13z0">
    <w:name w:val="WW8Num13z0"/>
    <w:qFormat/>
    <w:rPr>
      <w:rFonts w:ascii="Arial" w:hAnsi="Arial" w:cs="Arial"/>
      <w:sz w:val="22"/>
      <w:szCs w:val="22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1z0">
    <w:name w:val="WW8Num11z0"/>
    <w:qFormat/>
    <w:rPr>
      <w:rFonts w:cs="Aria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29z0">
    <w:name w:val="WW8Num29z0"/>
    <w:qFormat/>
    <w:rPr>
      <w:rFonts w:ascii="Arial" w:hAnsi="Arial" w:eastAsia="Times New Roman" w:cs="Aria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Znakapoznpodarou">
    <w:name w:val="Značka pozn. pod čarou"/>
    <w:qFormat/>
    <w:rPr>
      <w:vertAlign w:val="superscript"/>
    </w:rPr>
  </w:style>
  <w:style w:type="character" w:styleId="WW8Num22z0">
    <w:name w:val="WW8Num22z0"/>
    <w:qFormat/>
    <w:rPr>
      <w:rFonts w:cs="Arial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19z0">
    <w:name w:val="WW8Num19z0"/>
    <w:qFormat/>
    <w:rPr>
      <w:rFonts w:ascii="Arial" w:hAnsi="Arial" w:cs="Arial"/>
      <w:sz w:val="22"/>
      <w:szCs w:val="22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8z0">
    <w:name w:val="WW8Num28z0"/>
    <w:qFormat/>
    <w:rPr>
      <w:rFonts w:cs="Arial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Arial"/>
      <w:sz w:val="22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  <w:sz w:val="22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2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sz w:val="22"/>
      <w:lang w:val="zxx" w:eastAsia="zxx" w:bidi="zxx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>
      <w:outlineLvl w:val="9"/>
    </w:pPr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Footer"/>
    <w:basedOn w:val="Normal"/>
    <w:link w:val="ZpatChar"/>
    <w:uiPriority w:val="99"/>
    <w:unhideWhenUsed/>
    <w:rsid w:val="00d01f2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4">
    <w:name w:val="WW8Num24"/>
    <w:qFormat/>
  </w:style>
  <w:style w:type="numbering" w:styleId="WW8Num13">
    <w:name w:val="WW8Num13"/>
    <w:qFormat/>
  </w:style>
  <w:style w:type="numbering" w:styleId="WW8Num11">
    <w:name w:val="WW8Num11"/>
    <w:qFormat/>
  </w:style>
  <w:style w:type="numbering" w:styleId="WW8Num29">
    <w:name w:val="WW8Num29"/>
    <w:qFormat/>
  </w:style>
  <w:style w:type="numbering" w:styleId="WW8Num22">
    <w:name w:val="WW8Num22"/>
    <w:qFormat/>
  </w:style>
  <w:style w:type="numbering" w:styleId="WW8Num19">
    <w:name w:val="WW8Num19"/>
    <w:qFormat/>
  </w:style>
  <w:style w:type="numbering" w:styleId="WW8Num28">
    <w:name w:val="WW8Num28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LibreOffice/7.3.5.2$Windows_X86_64 LibreOffice_project/184fe81b8c8c30d8b5082578aee2fed2ea847c01</Application>
  <AppVersion>15.0000</AppVersion>
  <Pages>4</Pages>
  <Words>1183</Words>
  <Characters>6591</Characters>
  <CharactersWithSpaces>7669</CharactersWithSpaces>
  <Paragraphs>94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2023-08-03T12:06:00Z</dcterms:created>
  <dc:creator>DA210036</dc:creator>
  <dc:description/>
  <dc:language>cs-CZ</dc:language>
  <cp:lastModifiedBy/>
  <cp:lastPrinted>2010-06-16T12:17:00Z</cp:lastPrinted>
  <dcterms:modified xsi:type="dcterms:W3CDTF">2023-12-14T09:16:41Z</dcterms:modified>
  <cp:revision>12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