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67DF" w14:textId="77777777" w:rsidR="00481AA0" w:rsidRPr="000961B2" w:rsidRDefault="00705878" w:rsidP="007058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  <w:r w:rsidRPr="000961B2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  <w:t>OBEC DUNAJOVICE</w:t>
      </w:r>
    </w:p>
    <w:p w14:paraId="01A3D95D" w14:textId="77777777" w:rsidR="00481AA0" w:rsidRPr="00481AA0" w:rsidRDefault="00705878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Zastupitelstvo obce Dunajovice</w:t>
      </w:r>
    </w:p>
    <w:p w14:paraId="05D6884D" w14:textId="77777777" w:rsidR="00481AA0" w:rsidRPr="00481AA0" w:rsidRDefault="00705878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Obecně závazná vyhláška obce Dunajovice,</w:t>
      </w:r>
    </w:p>
    <w:p w14:paraId="12379857" w14:textId="062A5E38" w:rsidR="004C258C" w:rsidRDefault="004C258C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9DC0093" w14:textId="77777777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705878">
        <w:rPr>
          <w:rFonts w:ascii="Arial" w:eastAsia="Times New Roman" w:hAnsi="Arial" w:cs="Arial"/>
          <w:b/>
          <w:color w:val="auto"/>
          <w:bdr w:val="none" w:sz="0" w:space="0" w:color="auto"/>
        </w:rPr>
        <w:t>Dunajovice</w:t>
      </w:r>
    </w:p>
    <w:p w14:paraId="080F0677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377C10C" w14:textId="09DBC7BB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70587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Dunajovice </w:t>
      </w:r>
      <w:r>
        <w:rPr>
          <w:rFonts w:ascii="Arial" w:hAnsi="Arial"/>
          <w:sz w:val="22"/>
          <w:szCs w:val="22"/>
        </w:rPr>
        <w:t xml:space="preserve">se na svém </w:t>
      </w:r>
      <w:r w:rsidRPr="004F1ED8">
        <w:rPr>
          <w:rFonts w:ascii="Arial" w:hAnsi="Arial"/>
          <w:color w:val="auto"/>
          <w:sz w:val="22"/>
          <w:szCs w:val="22"/>
        </w:rPr>
        <w:t>zasedání</w:t>
      </w:r>
      <w:r w:rsidRPr="004F1ED8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Pr="004F1ED8">
        <w:rPr>
          <w:rFonts w:ascii="Arial" w:hAnsi="Arial"/>
          <w:color w:val="auto"/>
          <w:sz w:val="22"/>
          <w:szCs w:val="22"/>
        </w:rPr>
        <w:t xml:space="preserve">dne </w:t>
      </w:r>
      <w:r w:rsidR="004F1ED8" w:rsidRPr="004F1ED8">
        <w:rPr>
          <w:rFonts w:ascii="Arial" w:hAnsi="Arial"/>
          <w:color w:val="auto"/>
          <w:sz w:val="22"/>
          <w:szCs w:val="22"/>
        </w:rPr>
        <w:t>8.2.2023</w:t>
      </w:r>
      <w:r w:rsidRPr="004F1ED8">
        <w:rPr>
          <w:rFonts w:ascii="Arial" w:hAnsi="Arial"/>
          <w:color w:val="auto"/>
          <w:sz w:val="22"/>
          <w:szCs w:val="22"/>
        </w:rPr>
        <w:t xml:space="preserve"> usnesením č. </w:t>
      </w:r>
      <w:r w:rsidR="004F1ED8" w:rsidRPr="004F1ED8">
        <w:rPr>
          <w:rFonts w:ascii="Arial" w:hAnsi="Arial"/>
          <w:color w:val="auto"/>
          <w:sz w:val="22"/>
          <w:szCs w:val="22"/>
        </w:rPr>
        <w:t xml:space="preserve">5/2/2023 </w:t>
      </w:r>
      <w:r w:rsidRPr="004F1ED8">
        <w:rPr>
          <w:rFonts w:ascii="Arial" w:hAnsi="Arial"/>
          <w:color w:val="auto"/>
          <w:sz w:val="22"/>
          <w:szCs w:val="22"/>
        </w:rPr>
        <w:t>usneslo vydat na základě ustanovení §</w:t>
      </w:r>
      <w:r>
        <w:rPr>
          <w:rFonts w:ascii="Arial" w:hAnsi="Arial"/>
          <w:sz w:val="22"/>
          <w:szCs w:val="22"/>
        </w:rPr>
        <w:t xml:space="preserve"> 24 odst. 2 zákona č. 246/1992 Sb., na ochranu zvířat proti týrání, ve znění pozdějších předpisů, a v souladu s ustanovením § 10 písm. 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6435BD94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7CB6B6E5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0893711F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obci:</w:t>
      </w:r>
    </w:p>
    <w:p w14:paraId="1B67648B" w14:textId="77777777" w:rsidR="004D5CAF" w:rsidRPr="008F1B5E" w:rsidRDefault="00705878" w:rsidP="008F1B5E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na veřejných prostranstvích</w:t>
      </w:r>
      <w:r>
        <w:rPr>
          <w:rStyle w:val="Znakapoznpodarou"/>
          <w:rFonts w:ascii="Arial" w:hAnsi="Arial"/>
          <w:b/>
          <w:bCs/>
        </w:rPr>
        <w:footnoteReference w:id="2"/>
      </w:r>
      <w:r>
        <w:rPr>
          <w:rFonts w:ascii="Arial" w:hAnsi="Arial"/>
          <w:b/>
          <w:bCs/>
        </w:rPr>
        <w:t xml:space="preserve"> nacházejících se v </w:t>
      </w:r>
      <w:r w:rsidR="000961B2">
        <w:rPr>
          <w:rFonts w:ascii="Arial" w:hAnsi="Arial"/>
          <w:b/>
          <w:bCs/>
        </w:rPr>
        <w:t>zastavě</w:t>
      </w:r>
      <w:r>
        <w:rPr>
          <w:rFonts w:ascii="Arial" w:hAnsi="Arial"/>
          <w:b/>
          <w:bCs/>
        </w:rPr>
        <w:t>ném území obce</w:t>
      </w:r>
      <w:r>
        <w:rPr>
          <w:rStyle w:val="Znakapoznpodarou"/>
          <w:rFonts w:ascii="Arial" w:hAnsi="Arial"/>
          <w:b/>
          <w:bCs/>
        </w:rPr>
        <w:footnoteReference w:id="3"/>
      </w:r>
      <w:r>
        <w:rPr>
          <w:rFonts w:ascii="Arial" w:hAnsi="Arial"/>
          <w:b/>
          <w:bCs/>
        </w:rPr>
        <w:t xml:space="preserve">, je možný pohyb psů pouze na vodítku nebo s náhubkem. </w:t>
      </w:r>
    </w:p>
    <w:p w14:paraId="6888D766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 zajišťuje fyzická osoba, která má psa na veřejném prostranství pod kontrolou či dohledem</w:t>
      </w:r>
      <w:r w:rsidR="008F1B5E">
        <w:rPr>
          <w:rStyle w:val="Znakapoznpodarou"/>
          <w:rFonts w:ascii="Arial" w:hAnsi="Arial"/>
        </w:rPr>
        <w:footnoteReference w:id="4"/>
      </w:r>
      <w:r>
        <w:rPr>
          <w:rFonts w:ascii="Arial" w:hAnsi="Arial"/>
        </w:rPr>
        <w:t>.</w:t>
      </w:r>
    </w:p>
    <w:p w14:paraId="64BC5904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</w:t>
      </w:r>
      <w:r w:rsidR="008F1B5E">
        <w:rPr>
          <w:rFonts w:ascii="Arial" w:hAnsi="Arial"/>
        </w:rPr>
        <w:t>dlo stanovené</w:t>
      </w:r>
      <w:r>
        <w:rPr>
          <w:rFonts w:ascii="Arial" w:hAnsi="Arial"/>
        </w:rPr>
        <w:t xml:space="preserve">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5"/>
      </w:r>
      <w:r>
        <w:rPr>
          <w:rFonts w:ascii="Arial" w:hAnsi="Arial"/>
        </w:rPr>
        <w:t xml:space="preserve">. </w:t>
      </w:r>
    </w:p>
    <w:p w14:paraId="28AFDD0D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DBFF317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47DDC279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17A8562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45BC9E1" w14:textId="77777777" w:rsidR="004D5CAF" w:rsidRDefault="004147C9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obecně závaznou vyhláškou se ruší obecně závazná vyhláška obce</w:t>
      </w:r>
      <w:r w:rsidR="000961B2">
        <w:rPr>
          <w:rFonts w:ascii="Arial" w:hAnsi="Arial"/>
          <w:sz w:val="22"/>
          <w:szCs w:val="22"/>
        </w:rPr>
        <w:t xml:space="preserve"> Dunajovice č. </w:t>
      </w:r>
      <w:r w:rsidR="008F1B5E">
        <w:rPr>
          <w:rFonts w:ascii="Arial" w:hAnsi="Arial"/>
          <w:sz w:val="22"/>
          <w:szCs w:val="22"/>
        </w:rPr>
        <w:t xml:space="preserve">4/2019, kterou se stanovují pravidla pro pohyb psů na veřejném </w:t>
      </w:r>
      <w:r w:rsidR="000961B2">
        <w:rPr>
          <w:rFonts w:ascii="Arial" w:hAnsi="Arial"/>
          <w:sz w:val="22"/>
          <w:szCs w:val="22"/>
        </w:rPr>
        <w:t>prostranství</w:t>
      </w:r>
      <w:r w:rsidR="008F1B5E">
        <w:rPr>
          <w:rFonts w:ascii="Arial" w:hAnsi="Arial"/>
          <w:sz w:val="22"/>
          <w:szCs w:val="22"/>
        </w:rPr>
        <w:t xml:space="preserve"> v obci Dunajovice a vymezují prostory pro volné pobíhání </w:t>
      </w:r>
      <w:r w:rsidR="000961B2">
        <w:rPr>
          <w:rFonts w:ascii="Arial" w:hAnsi="Arial"/>
          <w:sz w:val="22"/>
          <w:szCs w:val="22"/>
        </w:rPr>
        <w:t>psů</w:t>
      </w:r>
      <w:r w:rsidR="008F1B5E">
        <w:rPr>
          <w:rFonts w:ascii="Arial" w:hAnsi="Arial"/>
          <w:sz w:val="22"/>
          <w:szCs w:val="22"/>
        </w:rPr>
        <w:t>, ze dne 12. 12. 2019.</w:t>
      </w:r>
    </w:p>
    <w:p w14:paraId="005CAF4F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EBE12D5" w14:textId="77777777" w:rsidR="000961B2" w:rsidRDefault="000961B2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5CE56ADE" w14:textId="77777777" w:rsidR="000961B2" w:rsidRDefault="000961B2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841A7AE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3</w:t>
      </w:r>
    </w:p>
    <w:p w14:paraId="39CAA0AB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2D828D86" w14:textId="77777777"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47C1983" w14:textId="77777777" w:rsidR="004C258C" w:rsidRPr="000961B2" w:rsidRDefault="004C258C" w:rsidP="000961B2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color w:val="0B5AB2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14:paraId="27EB632D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0C486BC0" w14:textId="77777777" w:rsidR="000961B2" w:rsidRDefault="000961B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15A5348" w14:textId="77777777" w:rsidR="004D5CAF" w:rsidRDefault="004147C9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</w:t>
      </w:r>
    </w:p>
    <w:p w14:paraId="1139C348" w14:textId="77777777" w:rsidR="004D5CAF" w:rsidRDefault="000961B2" w:rsidP="000961B2">
      <w:pPr>
        <w:tabs>
          <w:tab w:val="left" w:pos="851"/>
          <w:tab w:val="left" w:pos="5670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…….……….……………………</w:t>
      </w: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…………………….</w:t>
      </w:r>
    </w:p>
    <w:p w14:paraId="700557A0" w14:textId="77777777" w:rsidR="000961B2" w:rsidRDefault="000961B2" w:rsidP="000961B2">
      <w:pPr>
        <w:tabs>
          <w:tab w:val="left" w:pos="567"/>
          <w:tab w:val="left" w:pos="6521"/>
        </w:tabs>
        <w:spacing w:line="312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Ing. Michal Stolička</w:t>
      </w:r>
      <w:r>
        <w:rPr>
          <w:rFonts w:ascii="Arial" w:hAnsi="Arial"/>
          <w:sz w:val="22"/>
          <w:szCs w:val="22"/>
        </w:rPr>
        <w:tab/>
        <w:t>Ing. Lucie Vítová</w:t>
      </w:r>
    </w:p>
    <w:p w14:paraId="17FF975A" w14:textId="77777777" w:rsidR="004D5CAF" w:rsidRDefault="000961B2" w:rsidP="000961B2">
      <w:pPr>
        <w:tabs>
          <w:tab w:val="left" w:pos="851"/>
          <w:tab w:val="left" w:pos="5812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>starost</w:t>
      </w:r>
      <w:r>
        <w:rPr>
          <w:rFonts w:ascii="Arial" w:hAnsi="Arial"/>
          <w:sz w:val="22"/>
          <w:szCs w:val="22"/>
        </w:rPr>
        <w:t>k</w:t>
      </w:r>
      <w:r w:rsidR="004147C9">
        <w:rPr>
          <w:rFonts w:ascii="Arial" w:hAnsi="Arial"/>
          <w:sz w:val="22"/>
          <w:szCs w:val="22"/>
        </w:rPr>
        <w:t>a obce</w:t>
      </w:r>
    </w:p>
    <w:p w14:paraId="435E25D8" w14:textId="7533E658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4804FD8" w14:textId="77777777" w:rsidR="00256F68" w:rsidRDefault="00256F6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8A9FC32" w14:textId="77777777" w:rsidR="00256F68" w:rsidRDefault="00256F6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92033B9" w14:textId="77777777" w:rsidR="00256F68" w:rsidRDefault="00256F6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30A0F2A" w14:textId="77777777" w:rsidR="00256F68" w:rsidRDefault="00256F68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sectPr w:rsidR="00256F68">
      <w:headerReference w:type="default" r:id="rId8"/>
      <w:footerReference w:type="default" r:id="rId9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8E88" w14:textId="77777777" w:rsidR="009A4748" w:rsidRDefault="009A4748">
      <w:r>
        <w:separator/>
      </w:r>
    </w:p>
  </w:endnote>
  <w:endnote w:type="continuationSeparator" w:id="0">
    <w:p w14:paraId="75D919C6" w14:textId="77777777" w:rsidR="009A4748" w:rsidRDefault="009A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1E80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BA9F" w14:textId="77777777" w:rsidR="009A4748" w:rsidRDefault="009A4748">
      <w:r>
        <w:separator/>
      </w:r>
    </w:p>
  </w:footnote>
  <w:footnote w:type="continuationSeparator" w:id="0">
    <w:p w14:paraId="7B215BA4" w14:textId="77777777" w:rsidR="009A4748" w:rsidRDefault="009A4748">
      <w:r>
        <w:continuationSeparator/>
      </w:r>
    </w:p>
  </w:footnote>
  <w:footnote w:type="continuationNotice" w:id="1">
    <w:p w14:paraId="3DBDA782" w14:textId="77777777" w:rsidR="009A4748" w:rsidRDefault="009A4748"/>
  </w:footnote>
  <w:footnote w:id="2">
    <w:p w14:paraId="6A0820D4" w14:textId="77777777" w:rsidR="00705878" w:rsidRPr="008F1B5E" w:rsidRDefault="00705878" w:rsidP="000961B2">
      <w:pPr>
        <w:pStyle w:val="Textpoznpodarou"/>
        <w:jc w:val="both"/>
        <w:rPr>
          <w:rFonts w:ascii="Arial" w:hAnsi="Arial" w:cs="Arial"/>
        </w:rPr>
      </w:pPr>
      <w:r w:rsidRPr="008F1B5E">
        <w:rPr>
          <w:rStyle w:val="Znakapoznpodarou"/>
          <w:rFonts w:ascii="Arial" w:hAnsi="Arial" w:cs="Arial"/>
        </w:rPr>
        <w:footnoteRef/>
      </w:r>
      <w:r w:rsidRPr="008F1B5E">
        <w:rPr>
          <w:rFonts w:ascii="Arial" w:hAnsi="Arial" w:cs="Arial"/>
        </w:rPr>
        <w:t xml:space="preserve"> </w:t>
      </w:r>
      <w:r w:rsidR="00544F82">
        <w:rPr>
          <w:rFonts w:ascii="Arial" w:hAnsi="Arial" w:cs="Arial"/>
        </w:rPr>
        <w:t xml:space="preserve">Dle </w:t>
      </w:r>
      <w:r w:rsidRPr="008F1B5E">
        <w:rPr>
          <w:rFonts w:ascii="Arial" w:hAnsi="Arial" w:cs="Arial"/>
        </w:rPr>
        <w:t>§ 34 zákona č. 128/200</w:t>
      </w:r>
      <w:r w:rsidR="000961B2">
        <w:rPr>
          <w:rFonts w:ascii="Arial" w:hAnsi="Arial" w:cs="Arial"/>
        </w:rPr>
        <w:t>0</w:t>
      </w:r>
      <w:r w:rsidRPr="008F1B5E">
        <w:rPr>
          <w:rFonts w:ascii="Arial" w:hAnsi="Arial" w:cs="Arial"/>
        </w:rPr>
        <w:t xml:space="preserve"> Sb., o obcíc</w:t>
      </w:r>
      <w:r w:rsidR="00544F82">
        <w:rPr>
          <w:rFonts w:ascii="Arial" w:hAnsi="Arial" w:cs="Arial"/>
        </w:rPr>
        <w:t>h, ve znění pozdějších předpisů, v</w:t>
      </w:r>
      <w:r w:rsidRPr="008F1B5E">
        <w:rPr>
          <w:rFonts w:ascii="Arial" w:hAnsi="Arial" w:cs="Arial"/>
        </w:rPr>
        <w:t>eř</w:t>
      </w:r>
      <w:r w:rsidR="008F1B5E" w:rsidRPr="008F1B5E">
        <w:rPr>
          <w:rFonts w:ascii="Arial" w:hAnsi="Arial" w:cs="Arial"/>
        </w:rPr>
        <w:t xml:space="preserve">ejným prostranstvím jsou všechna náměstí, ulice, tržiště, chodníky, veřejná zeleň, parky a další prostory přístupné každému bez omezení, tedy sloužící obecnému užívání, a </w:t>
      </w:r>
      <w:r w:rsidR="00544F82">
        <w:rPr>
          <w:rFonts w:ascii="Arial" w:hAnsi="Arial" w:cs="Arial"/>
        </w:rPr>
        <w:t xml:space="preserve">to </w:t>
      </w:r>
      <w:r w:rsidR="008F1B5E" w:rsidRPr="008F1B5E">
        <w:rPr>
          <w:rFonts w:ascii="Arial" w:hAnsi="Arial" w:cs="Arial"/>
        </w:rPr>
        <w:t xml:space="preserve">bez ohledu na vlastnictví k tomuto prostoru. </w:t>
      </w:r>
    </w:p>
  </w:footnote>
  <w:footnote w:id="3">
    <w:p w14:paraId="54E04F30" w14:textId="77777777" w:rsidR="008F1B5E" w:rsidRPr="008F1B5E" w:rsidRDefault="00705878">
      <w:pPr>
        <w:pStyle w:val="Textpoznpodarou"/>
        <w:rPr>
          <w:rFonts w:ascii="Arial" w:hAnsi="Arial" w:cs="Arial"/>
        </w:rPr>
      </w:pPr>
      <w:r w:rsidRPr="008F1B5E">
        <w:rPr>
          <w:rStyle w:val="Znakapoznpodarou"/>
          <w:rFonts w:ascii="Arial" w:hAnsi="Arial" w:cs="Arial"/>
        </w:rPr>
        <w:footnoteRef/>
      </w:r>
      <w:r w:rsidRPr="008F1B5E">
        <w:rPr>
          <w:rFonts w:ascii="Arial" w:hAnsi="Arial" w:cs="Arial"/>
        </w:rPr>
        <w:t xml:space="preserve"> Zastav</w:t>
      </w:r>
      <w:r w:rsidR="000961B2">
        <w:rPr>
          <w:rFonts w:ascii="Arial" w:hAnsi="Arial" w:cs="Arial"/>
        </w:rPr>
        <w:t>ě</w:t>
      </w:r>
      <w:r w:rsidRPr="008F1B5E">
        <w:rPr>
          <w:rFonts w:ascii="Arial" w:hAnsi="Arial" w:cs="Arial"/>
        </w:rPr>
        <w:t>né území obce je vymezeno Opatřením obecné povahy č. 1/2007.</w:t>
      </w:r>
    </w:p>
  </w:footnote>
  <w:footnote w:id="4">
    <w:p w14:paraId="3C4ACD0A" w14:textId="77777777" w:rsidR="008F1B5E" w:rsidRPr="008F1B5E" w:rsidRDefault="008F1B5E" w:rsidP="008F1B5E">
      <w:pPr>
        <w:pStyle w:val="Default"/>
        <w:ind w:left="142" w:hanging="142"/>
        <w:jc w:val="both"/>
        <w:rPr>
          <w:sz w:val="20"/>
          <w:szCs w:val="20"/>
        </w:rPr>
      </w:pPr>
      <w:r w:rsidRPr="008F1B5E">
        <w:rPr>
          <w:rStyle w:val="Znakapoznpodarou"/>
          <w:sz w:val="20"/>
          <w:szCs w:val="20"/>
        </w:rPr>
        <w:footnoteRef/>
      </w:r>
      <w:r w:rsidRPr="008F1B5E"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5">
    <w:p w14:paraId="1CA8C1FD" w14:textId="77777777" w:rsidR="004D5CAF" w:rsidRPr="008F1B5E" w:rsidRDefault="004147C9">
      <w:pPr>
        <w:pStyle w:val="Textpoznpodarou"/>
        <w:ind w:left="142" w:hanging="142"/>
        <w:jc w:val="both"/>
        <w:rPr>
          <w:rFonts w:ascii="Arial" w:hAnsi="Arial" w:cs="Arial"/>
        </w:rPr>
      </w:pPr>
      <w:r w:rsidRPr="008F1B5E">
        <w:rPr>
          <w:rFonts w:ascii="Arial" w:eastAsia="Arial" w:hAnsi="Arial" w:cs="Arial"/>
          <w:vertAlign w:val="superscript"/>
        </w:rPr>
        <w:footnoteRef/>
      </w:r>
      <w:r w:rsidRPr="008F1B5E">
        <w:rPr>
          <w:rFonts w:ascii="Arial" w:hAnsi="Arial" w:cs="Arial"/>
          <w:vertAlign w:val="superscript"/>
        </w:rPr>
        <w:t>)</w:t>
      </w:r>
      <w:r w:rsidRPr="008F1B5E">
        <w:rPr>
          <w:rFonts w:ascii="Arial" w:hAnsi="Arial" w:cs="Arial"/>
          <w:lang w:val="it-IT"/>
        </w:rPr>
        <w:t xml:space="preserve"> Nap</w:t>
      </w:r>
      <w:r w:rsidRPr="008F1B5E">
        <w:rPr>
          <w:rFonts w:ascii="Arial" w:hAnsi="Arial" w:cs="Arial"/>
        </w:rPr>
        <w:t>ř</w:t>
      </w:r>
      <w:r w:rsidRPr="008F1B5E">
        <w:rPr>
          <w:rFonts w:ascii="Arial" w:hAnsi="Arial" w:cs="Arial"/>
          <w:lang w:val="de-DE"/>
        </w:rPr>
        <w:t>. z</w:t>
      </w:r>
      <w:r w:rsidRPr="008F1B5E">
        <w:rPr>
          <w:rFonts w:ascii="Arial" w:hAnsi="Arial" w:cs="Arial"/>
        </w:rPr>
        <w:t>ákon č. 273/2008 Sb., o Policii Česk</w:t>
      </w:r>
      <w:r w:rsidRPr="008F1B5E">
        <w:rPr>
          <w:rFonts w:ascii="Arial" w:hAnsi="Arial" w:cs="Arial"/>
          <w:lang w:val="fr-FR"/>
        </w:rPr>
        <w:t xml:space="preserve">é </w:t>
      </w:r>
      <w:r w:rsidRPr="008F1B5E">
        <w:rPr>
          <w:rFonts w:ascii="Arial" w:hAnsi="Arial" w:cs="Arial"/>
        </w:rPr>
        <w:t>republiky, ve znění pozdějších předpisů</w:t>
      </w:r>
      <w:r w:rsidRPr="008F1B5E">
        <w:rPr>
          <w:rFonts w:ascii="Arial" w:hAnsi="Arial" w:cs="Arial"/>
          <w:lang w:val="nl-NL"/>
        </w:rPr>
        <w:t>, z</w:t>
      </w:r>
      <w:r w:rsidRPr="008F1B5E">
        <w:rPr>
          <w:rFonts w:ascii="Arial" w:hAnsi="Arial" w:cs="Arial"/>
        </w:rPr>
        <w:t xml:space="preserve">ákon č. 553/1991 Sb., o obecní policii, ve 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C9F6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1783729">
    <w:abstractNumId w:val="5"/>
  </w:num>
  <w:num w:numId="2" w16cid:durableId="165559229">
    <w:abstractNumId w:val="1"/>
  </w:num>
  <w:num w:numId="3" w16cid:durableId="1164903502">
    <w:abstractNumId w:val="1"/>
    <w:lvlOverride w:ilvl="0">
      <w:lvl w:ilvl="0" w:tplc="6F3EFAD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24CB89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B2BA0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68478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2EB82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303A9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080A7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2C7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D0C2E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35907269">
    <w:abstractNumId w:val="3"/>
  </w:num>
  <w:num w:numId="5" w16cid:durableId="2063826728">
    <w:abstractNumId w:val="0"/>
  </w:num>
  <w:num w:numId="6" w16cid:durableId="1295522211">
    <w:abstractNumId w:val="0"/>
    <w:lvlOverride w:ilvl="0">
      <w:lvl w:ilvl="0" w:tplc="23ACE6F2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DA0C28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AE23EC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9070B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B4894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864EE6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86EB2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46C3A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66C09C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67874079">
    <w:abstractNumId w:val="4"/>
  </w:num>
  <w:num w:numId="8" w16cid:durableId="149784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961B2"/>
    <w:rsid w:val="000F0681"/>
    <w:rsid w:val="001203F5"/>
    <w:rsid w:val="001351F1"/>
    <w:rsid w:val="002529A2"/>
    <w:rsid w:val="00256F68"/>
    <w:rsid w:val="0027446E"/>
    <w:rsid w:val="003B699E"/>
    <w:rsid w:val="003F32F9"/>
    <w:rsid w:val="004051F3"/>
    <w:rsid w:val="004147C9"/>
    <w:rsid w:val="00481AA0"/>
    <w:rsid w:val="004C258C"/>
    <w:rsid w:val="004D5CAF"/>
    <w:rsid w:val="004F1ED8"/>
    <w:rsid w:val="00544F82"/>
    <w:rsid w:val="00592CB1"/>
    <w:rsid w:val="005B429F"/>
    <w:rsid w:val="0062229B"/>
    <w:rsid w:val="006C2CE4"/>
    <w:rsid w:val="00705878"/>
    <w:rsid w:val="007157ED"/>
    <w:rsid w:val="00770744"/>
    <w:rsid w:val="008F1B5E"/>
    <w:rsid w:val="009077D8"/>
    <w:rsid w:val="009A4748"/>
    <w:rsid w:val="009B1EFB"/>
    <w:rsid w:val="00AC769E"/>
    <w:rsid w:val="00AE6D74"/>
    <w:rsid w:val="00B54873"/>
    <w:rsid w:val="00BA773C"/>
    <w:rsid w:val="00C63A4A"/>
    <w:rsid w:val="00CB6618"/>
    <w:rsid w:val="00DA73EA"/>
    <w:rsid w:val="00E2290F"/>
    <w:rsid w:val="00EC7B4D"/>
    <w:rsid w:val="00F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F35C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1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1B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B859-BD9A-46E3-AEEB-70F6A354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Lucie Vítová</cp:lastModifiedBy>
  <cp:revision>6</cp:revision>
  <cp:lastPrinted>2022-11-28T13:59:00Z</cp:lastPrinted>
  <dcterms:created xsi:type="dcterms:W3CDTF">2022-12-07T14:56:00Z</dcterms:created>
  <dcterms:modified xsi:type="dcterms:W3CDTF">2023-02-08T07:37:00Z</dcterms:modified>
</cp:coreProperties>
</file>