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387F5FD" w14:textId="77777777" w:rsidR="00CD2342" w:rsidRPr="002E0EAD" w:rsidRDefault="00CD2342" w:rsidP="00CD2342">
      <w:pPr>
        <w:spacing w:line="276" w:lineRule="auto"/>
        <w:jc w:val="center"/>
        <w:rPr>
          <w:rFonts w:ascii="Arial" w:hAnsi="Arial" w:cs="Arial"/>
          <w:b/>
        </w:rPr>
      </w:pPr>
      <w:r w:rsidRPr="00E62E33">
        <w:rPr>
          <w:rFonts w:ascii="Arial" w:hAnsi="Arial" w:cs="Arial"/>
          <w:b/>
          <w:noProof/>
        </w:rPr>
        <w:drawing>
          <wp:inline distT="0" distB="0" distL="0" distR="0" wp14:anchorId="1D863D74" wp14:editId="41F05ADD">
            <wp:extent cx="845820" cy="97536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MĚSTO BŘIDLIČNÁ</w:t>
      </w:r>
    </w:p>
    <w:p w14:paraId="11F4A4FC" w14:textId="77777777" w:rsidR="00CD2342" w:rsidRDefault="00CD2342" w:rsidP="00CD23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Zastupitelstvo města Břidličná</w:t>
      </w:r>
    </w:p>
    <w:p w14:paraId="12B7D82C" w14:textId="77777777" w:rsidR="00F709BB" w:rsidRDefault="00F709BB" w:rsidP="00CD2342">
      <w:pPr>
        <w:spacing w:line="276" w:lineRule="auto"/>
        <w:jc w:val="center"/>
        <w:rPr>
          <w:rFonts w:ascii="Arial" w:hAnsi="Arial" w:cs="Arial"/>
          <w:b/>
        </w:rPr>
      </w:pPr>
    </w:p>
    <w:p w14:paraId="5286E46C" w14:textId="77777777" w:rsidR="00CD135D" w:rsidRDefault="00CD2342" w:rsidP="00CD2342">
      <w:pPr>
        <w:spacing w:line="276" w:lineRule="auto"/>
        <w:jc w:val="center"/>
        <w:rPr>
          <w:rFonts w:ascii="Arial" w:hAnsi="Arial" w:cs="Arial"/>
          <w:b/>
        </w:rPr>
      </w:pPr>
      <w:r w:rsidRPr="00495DBB">
        <w:rPr>
          <w:rFonts w:ascii="Arial" w:hAnsi="Arial" w:cs="Arial"/>
          <w:b/>
          <w:bCs/>
          <w:spacing w:val="3"/>
        </w:rPr>
        <w:t>Obecně závazná vyhláška města Břidličná</w:t>
      </w:r>
      <w:r w:rsidRPr="009D3388">
        <w:rPr>
          <w:rFonts w:ascii="Arial" w:hAnsi="Arial" w:cs="Arial"/>
          <w:b/>
        </w:rPr>
        <w:t xml:space="preserve"> </w:t>
      </w:r>
    </w:p>
    <w:p w14:paraId="04BA2CDA" w14:textId="330B45F0" w:rsidR="00CD2342" w:rsidRDefault="00CD2342" w:rsidP="00CD23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716A0241" w14:textId="75575054" w:rsidR="00CD2342" w:rsidRPr="009D3388" w:rsidRDefault="00CD2342" w:rsidP="00CD2342">
      <w:pPr>
        <w:spacing w:after="360" w:line="276" w:lineRule="auto"/>
        <w:jc w:val="center"/>
        <w:rPr>
          <w:rFonts w:ascii="Arial" w:hAnsi="Arial" w:cs="Arial"/>
          <w:b/>
        </w:rPr>
      </w:pPr>
    </w:p>
    <w:p w14:paraId="0229E486" w14:textId="2091B4F6" w:rsidR="00893F98" w:rsidRPr="002B668D" w:rsidRDefault="00CD2342" w:rsidP="00CD234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Zastupitelstvo </w:t>
      </w:r>
      <w:r w:rsidRPr="00652159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Břidličná </w:t>
      </w:r>
      <w:r w:rsidRPr="00652159">
        <w:rPr>
          <w:rFonts w:ascii="Arial" w:hAnsi="Arial" w:cs="Arial"/>
          <w:sz w:val="22"/>
          <w:szCs w:val="22"/>
        </w:rPr>
        <w:t>s</w:t>
      </w:r>
      <w:r w:rsidRPr="00225E55">
        <w:rPr>
          <w:rFonts w:ascii="Arial" w:hAnsi="Arial" w:cs="Arial"/>
          <w:sz w:val="22"/>
          <w:szCs w:val="22"/>
        </w:rPr>
        <w:t xml:space="preserve">e na svém zasedání dne </w:t>
      </w:r>
      <w:r>
        <w:rPr>
          <w:rFonts w:ascii="Arial" w:hAnsi="Arial" w:cs="Arial"/>
          <w:sz w:val="22"/>
          <w:szCs w:val="22"/>
        </w:rPr>
        <w:t>06.03.2024</w:t>
      </w:r>
      <w:r w:rsidRPr="00225E55">
        <w:rPr>
          <w:rFonts w:ascii="Arial" w:hAnsi="Arial" w:cs="Arial"/>
          <w:sz w:val="22"/>
          <w:szCs w:val="22"/>
        </w:rPr>
        <w:t xml:space="preserve"> usneslo vydat na základě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FB171D3" w:rsidR="00893F98" w:rsidRPr="00610311" w:rsidRDefault="00977C5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10311">
        <w:rPr>
          <w:rFonts w:ascii="Arial" w:hAnsi="Arial" w:cs="Arial"/>
          <w:sz w:val="22"/>
          <w:szCs w:val="22"/>
        </w:rPr>
        <w:t>M</w:t>
      </w:r>
      <w:r w:rsidR="00850CCE" w:rsidRPr="00610311">
        <w:rPr>
          <w:rFonts w:ascii="Arial" w:hAnsi="Arial" w:cs="Arial"/>
          <w:sz w:val="22"/>
          <w:szCs w:val="22"/>
        </w:rPr>
        <w:t>ěsto</w:t>
      </w:r>
      <w:r w:rsidRPr="00610311">
        <w:rPr>
          <w:rFonts w:ascii="Arial" w:hAnsi="Arial" w:cs="Arial"/>
          <w:sz w:val="22"/>
          <w:szCs w:val="22"/>
        </w:rPr>
        <w:t xml:space="preserve"> Břidličná </w:t>
      </w:r>
      <w:r w:rsidR="00893F98" w:rsidRPr="00610311">
        <w:rPr>
          <w:rFonts w:ascii="Arial" w:hAnsi="Arial" w:cs="Arial"/>
          <w:sz w:val="22"/>
          <w:szCs w:val="22"/>
        </w:rPr>
        <w:t>touto vyh</w:t>
      </w:r>
      <w:r w:rsidR="006F6BCD" w:rsidRPr="00610311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610311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0565996" w:rsidR="00893F98" w:rsidRPr="00610311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10311">
        <w:rPr>
          <w:rFonts w:ascii="Arial" w:hAnsi="Arial" w:cs="Arial"/>
          <w:sz w:val="22"/>
          <w:szCs w:val="22"/>
        </w:rPr>
        <w:t>Správcem poplatku je</w:t>
      </w:r>
      <w:r w:rsidR="00893F98" w:rsidRPr="00610311">
        <w:rPr>
          <w:rFonts w:ascii="Arial" w:hAnsi="Arial" w:cs="Arial"/>
          <w:sz w:val="22"/>
          <w:szCs w:val="22"/>
        </w:rPr>
        <w:t xml:space="preserve"> </w:t>
      </w:r>
      <w:r w:rsidR="00610311" w:rsidRPr="00610311">
        <w:rPr>
          <w:rFonts w:ascii="Arial" w:hAnsi="Arial" w:cs="Arial"/>
          <w:sz w:val="22"/>
          <w:szCs w:val="22"/>
        </w:rPr>
        <w:t>m</w:t>
      </w:r>
      <w:r w:rsidR="008F0DA9" w:rsidRPr="00610311">
        <w:rPr>
          <w:rFonts w:ascii="Arial" w:hAnsi="Arial" w:cs="Arial"/>
          <w:sz w:val="22"/>
          <w:szCs w:val="22"/>
        </w:rPr>
        <w:t>ěstský úřad</w:t>
      </w:r>
      <w:r w:rsidR="009173E5" w:rsidRPr="00610311">
        <w:rPr>
          <w:rFonts w:ascii="Arial" w:hAnsi="Arial" w:cs="Arial"/>
          <w:sz w:val="22"/>
          <w:szCs w:val="22"/>
        </w:rPr>
        <w:t>.</w:t>
      </w:r>
      <w:r w:rsidR="00893F98" w:rsidRPr="0061031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2A4F54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5E3C1B" w:rsidRPr="009D5C78">
        <w:rPr>
          <w:rFonts w:ascii="Arial" w:hAnsi="Arial" w:cs="Arial"/>
          <w:sz w:val="22"/>
          <w:szCs w:val="22"/>
        </w:rPr>
        <w:t>ve městě</w:t>
      </w:r>
      <w:r w:rsidR="009D5C78" w:rsidRPr="009D5C78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9B7FD41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64CA7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27B807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1329C2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2C22FF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61F4BD5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9682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D96823">
        <w:rPr>
          <w:rFonts w:ascii="Arial" w:hAnsi="Arial" w:cs="Arial"/>
          <w:iCs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25B181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28625F7" w14:textId="77777777" w:rsidR="009440F8" w:rsidRDefault="001A14B8" w:rsidP="009440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33166B">
        <w:rPr>
          <w:rFonts w:ascii="Arial" w:hAnsi="Arial" w:cs="Arial"/>
          <w:sz w:val="22"/>
          <w:szCs w:val="22"/>
        </w:rPr>
        <w:t>Od</w:t>
      </w:r>
      <w:r w:rsidR="009440F8">
        <w:rPr>
          <w:rFonts w:ascii="Arial" w:hAnsi="Arial" w:cs="Arial"/>
          <w:sz w:val="22"/>
          <w:szCs w:val="22"/>
        </w:rPr>
        <w:t xml:space="preserve">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 xml:space="preserve">y vymezené v zákoně o místních </w:t>
      </w:r>
    </w:p>
    <w:p w14:paraId="461EAD94" w14:textId="2CCA936A" w:rsidR="00B92EB1" w:rsidRPr="0033166B" w:rsidRDefault="001A14B8" w:rsidP="009440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37DB7">
        <w:rPr>
          <w:rFonts w:ascii="Arial" w:hAnsi="Arial" w:cs="Arial"/>
          <w:sz w:val="22"/>
          <w:szCs w:val="22"/>
        </w:rPr>
        <w:t>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FA340CB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F3947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9F3947" w:rsidRPr="006F4960">
        <w:rPr>
          <w:rFonts w:ascii="Arial" w:hAnsi="Arial" w:cs="Arial"/>
          <w:sz w:val="22"/>
          <w:szCs w:val="22"/>
        </w:rPr>
        <w:t>2021</w:t>
      </w:r>
      <w:r w:rsidR="007366D5">
        <w:rPr>
          <w:rFonts w:ascii="Arial" w:hAnsi="Arial" w:cs="Arial"/>
          <w:sz w:val="22"/>
          <w:szCs w:val="22"/>
        </w:rPr>
        <w:t>,</w:t>
      </w:r>
      <w:r w:rsidRPr="006F4960">
        <w:rPr>
          <w:rFonts w:ascii="Arial" w:hAnsi="Arial" w:cs="Arial"/>
          <w:sz w:val="22"/>
          <w:szCs w:val="22"/>
        </w:rPr>
        <w:t xml:space="preserve"> </w:t>
      </w:r>
      <w:r w:rsidR="009F3947" w:rsidRPr="006F4960">
        <w:rPr>
          <w:rFonts w:ascii="Arial" w:hAnsi="Arial" w:cs="Arial"/>
          <w:sz w:val="22"/>
          <w:szCs w:val="22"/>
        </w:rPr>
        <w:t>o místním poplatk</w:t>
      </w:r>
      <w:r w:rsidR="00030892" w:rsidRPr="006F4960">
        <w:rPr>
          <w:rFonts w:ascii="Arial" w:hAnsi="Arial" w:cs="Arial"/>
          <w:sz w:val="22"/>
          <w:szCs w:val="22"/>
        </w:rPr>
        <w:t>u</w:t>
      </w:r>
      <w:r w:rsidR="009F3947" w:rsidRPr="006F4960">
        <w:rPr>
          <w:rFonts w:ascii="Arial" w:hAnsi="Arial" w:cs="Arial"/>
          <w:sz w:val="22"/>
          <w:szCs w:val="22"/>
        </w:rPr>
        <w:t xml:space="preserve"> </w:t>
      </w:r>
      <w:r w:rsidR="00030892" w:rsidRPr="006F4960">
        <w:rPr>
          <w:rFonts w:ascii="Arial" w:hAnsi="Arial" w:cs="Arial"/>
          <w:sz w:val="22"/>
          <w:szCs w:val="22"/>
        </w:rPr>
        <w:t>z pobytu</w:t>
      </w:r>
      <w:r w:rsidRPr="006F4960">
        <w:rPr>
          <w:rFonts w:ascii="Arial" w:hAnsi="Arial" w:cs="Arial"/>
          <w:sz w:val="22"/>
          <w:szCs w:val="22"/>
        </w:rPr>
        <w:t xml:space="preserve">, ze </w:t>
      </w:r>
      <w:r w:rsidRPr="00061889">
        <w:rPr>
          <w:rFonts w:ascii="Arial" w:hAnsi="Arial" w:cs="Arial"/>
          <w:sz w:val="22"/>
          <w:szCs w:val="22"/>
        </w:rPr>
        <w:t xml:space="preserve">dne </w:t>
      </w:r>
      <w:r w:rsidR="00030892">
        <w:rPr>
          <w:rFonts w:ascii="Arial" w:hAnsi="Arial" w:cs="Arial"/>
          <w:sz w:val="22"/>
          <w:szCs w:val="22"/>
        </w:rPr>
        <w:t>1</w:t>
      </w:r>
      <w:r w:rsidR="006F4960">
        <w:rPr>
          <w:rFonts w:ascii="Arial" w:hAnsi="Arial" w:cs="Arial"/>
          <w:sz w:val="22"/>
          <w:szCs w:val="22"/>
        </w:rPr>
        <w:t>7.</w:t>
      </w:r>
      <w:r w:rsidR="007366D5">
        <w:rPr>
          <w:rFonts w:ascii="Arial" w:hAnsi="Arial" w:cs="Arial"/>
          <w:sz w:val="22"/>
          <w:szCs w:val="22"/>
        </w:rPr>
        <w:t xml:space="preserve"> </w:t>
      </w:r>
      <w:r w:rsidR="006F4960">
        <w:rPr>
          <w:rFonts w:ascii="Arial" w:hAnsi="Arial" w:cs="Arial"/>
          <w:sz w:val="22"/>
          <w:szCs w:val="22"/>
        </w:rPr>
        <w:t>03.</w:t>
      </w:r>
      <w:r w:rsidR="007366D5">
        <w:rPr>
          <w:rFonts w:ascii="Arial" w:hAnsi="Arial" w:cs="Arial"/>
          <w:sz w:val="22"/>
          <w:szCs w:val="22"/>
        </w:rPr>
        <w:t xml:space="preserve"> </w:t>
      </w:r>
      <w:r w:rsidR="006F4960">
        <w:rPr>
          <w:rFonts w:ascii="Arial" w:hAnsi="Arial" w:cs="Arial"/>
          <w:sz w:val="22"/>
          <w:szCs w:val="22"/>
        </w:rPr>
        <w:t>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5F097EE" w14:textId="77777777" w:rsidR="00FA081C" w:rsidRDefault="00FA081C" w:rsidP="00FA08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016C43" w14:textId="77777777" w:rsidR="00FA081C" w:rsidRDefault="00FA081C" w:rsidP="00FA08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A32846" w14:textId="77777777" w:rsidR="00FA081C" w:rsidRDefault="00FA081C" w:rsidP="00FA08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54CC86B" w14:textId="77777777" w:rsidR="00FA081C" w:rsidRPr="00DF5857" w:rsidRDefault="00FA081C" w:rsidP="00FA08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DB17330" w14:textId="70E31B8E" w:rsidR="00FA081C" w:rsidRPr="000C2DC4" w:rsidRDefault="00FA081C" w:rsidP="00FA08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7366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7366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B9CA265" w14:textId="77777777" w:rsidR="00FA081C" w:rsidRDefault="00FA081C" w:rsidP="00FA08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0EF21A" w14:textId="77777777" w:rsidR="00FA081C" w:rsidRDefault="00FA081C" w:rsidP="00FA08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D52546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E66B" w14:textId="77777777" w:rsidR="00D52546" w:rsidRDefault="00D52546">
      <w:r>
        <w:separator/>
      </w:r>
    </w:p>
  </w:endnote>
  <w:endnote w:type="continuationSeparator" w:id="0">
    <w:p w14:paraId="27514016" w14:textId="77777777" w:rsidR="00D52546" w:rsidRDefault="00D5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C3E5" w14:textId="77777777" w:rsidR="00D52546" w:rsidRDefault="00D52546">
      <w:r>
        <w:separator/>
      </w:r>
    </w:p>
  </w:footnote>
  <w:footnote w:type="continuationSeparator" w:id="0">
    <w:p w14:paraId="7A29D124" w14:textId="77777777" w:rsidR="00D52546" w:rsidRDefault="00D5254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8799931">
    <w:abstractNumId w:val="17"/>
  </w:num>
  <w:num w:numId="2" w16cid:durableId="1092973618">
    <w:abstractNumId w:val="18"/>
  </w:num>
  <w:num w:numId="3" w16cid:durableId="1949269275">
    <w:abstractNumId w:val="9"/>
  </w:num>
  <w:num w:numId="4" w16cid:durableId="1000080854">
    <w:abstractNumId w:val="15"/>
  </w:num>
  <w:num w:numId="5" w16cid:durableId="2123181715">
    <w:abstractNumId w:val="16"/>
  </w:num>
  <w:num w:numId="6" w16cid:durableId="21445763">
    <w:abstractNumId w:val="4"/>
  </w:num>
  <w:num w:numId="7" w16cid:durableId="1391996053">
    <w:abstractNumId w:val="1"/>
  </w:num>
  <w:num w:numId="8" w16cid:durableId="82803691">
    <w:abstractNumId w:val="10"/>
  </w:num>
  <w:num w:numId="9" w16cid:durableId="610280375">
    <w:abstractNumId w:val="5"/>
  </w:num>
  <w:num w:numId="10" w16cid:durableId="916204833">
    <w:abstractNumId w:val="11"/>
  </w:num>
  <w:num w:numId="11" w16cid:durableId="138235235">
    <w:abstractNumId w:val="3"/>
  </w:num>
  <w:num w:numId="12" w16cid:durableId="304160712">
    <w:abstractNumId w:val="6"/>
  </w:num>
  <w:num w:numId="13" w16cid:durableId="1072121242">
    <w:abstractNumId w:val="13"/>
  </w:num>
  <w:num w:numId="14" w16cid:durableId="978802188">
    <w:abstractNumId w:val="14"/>
  </w:num>
  <w:num w:numId="15" w16cid:durableId="1898974167">
    <w:abstractNumId w:val="0"/>
  </w:num>
  <w:num w:numId="16" w16cid:durableId="1390073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10415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804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555660">
    <w:abstractNumId w:val="12"/>
  </w:num>
  <w:num w:numId="20" w16cid:durableId="532884059">
    <w:abstractNumId w:val="6"/>
  </w:num>
  <w:num w:numId="21" w16cid:durableId="947005587">
    <w:abstractNumId w:val="6"/>
  </w:num>
  <w:num w:numId="22" w16cid:durableId="936017455">
    <w:abstractNumId w:val="2"/>
  </w:num>
  <w:num w:numId="23" w16cid:durableId="556625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5773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0892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46E00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14B8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22FF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4915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311"/>
    <w:rsid w:val="00610B4F"/>
    <w:rsid w:val="006162DC"/>
    <w:rsid w:val="006203B7"/>
    <w:rsid w:val="00624E84"/>
    <w:rsid w:val="0063422E"/>
    <w:rsid w:val="0063659F"/>
    <w:rsid w:val="00642673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4960"/>
    <w:rsid w:val="006F6BCD"/>
    <w:rsid w:val="00702A7D"/>
    <w:rsid w:val="00703C49"/>
    <w:rsid w:val="00704AEF"/>
    <w:rsid w:val="00735391"/>
    <w:rsid w:val="007366D5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3A05"/>
    <w:rsid w:val="007C1CAB"/>
    <w:rsid w:val="007C22C4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40F8"/>
    <w:rsid w:val="009508FA"/>
    <w:rsid w:val="0095207B"/>
    <w:rsid w:val="00964C07"/>
    <w:rsid w:val="00964E09"/>
    <w:rsid w:val="00967DE6"/>
    <w:rsid w:val="00972382"/>
    <w:rsid w:val="00977C5F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5C78"/>
    <w:rsid w:val="009D7068"/>
    <w:rsid w:val="009E2C0F"/>
    <w:rsid w:val="009F33B5"/>
    <w:rsid w:val="009F3947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5C06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135D"/>
    <w:rsid w:val="00CD2342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546"/>
    <w:rsid w:val="00D52FC4"/>
    <w:rsid w:val="00D5315A"/>
    <w:rsid w:val="00D631DA"/>
    <w:rsid w:val="00D63CCB"/>
    <w:rsid w:val="00D64CA7"/>
    <w:rsid w:val="00D67409"/>
    <w:rsid w:val="00D71A7A"/>
    <w:rsid w:val="00D85DA0"/>
    <w:rsid w:val="00D957BD"/>
    <w:rsid w:val="00D9652F"/>
    <w:rsid w:val="00D96823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4CD1"/>
    <w:rsid w:val="00F363FB"/>
    <w:rsid w:val="00F45FB4"/>
    <w:rsid w:val="00F50C84"/>
    <w:rsid w:val="00F53334"/>
    <w:rsid w:val="00F6045D"/>
    <w:rsid w:val="00F67A40"/>
    <w:rsid w:val="00F709BB"/>
    <w:rsid w:val="00F716C9"/>
    <w:rsid w:val="00F72D50"/>
    <w:rsid w:val="00F74B0A"/>
    <w:rsid w:val="00F751B9"/>
    <w:rsid w:val="00F75514"/>
    <w:rsid w:val="00F85E67"/>
    <w:rsid w:val="00F85ED4"/>
    <w:rsid w:val="00FA081C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Paštěková</cp:lastModifiedBy>
  <cp:revision>6</cp:revision>
  <cp:lastPrinted>2024-03-11T09:56:00Z</cp:lastPrinted>
  <dcterms:created xsi:type="dcterms:W3CDTF">2024-01-19T09:49:00Z</dcterms:created>
  <dcterms:modified xsi:type="dcterms:W3CDTF">2024-03-11T09:56:00Z</dcterms:modified>
</cp:coreProperties>
</file>