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80BAD" w14:textId="77777777" w:rsidR="00916432" w:rsidRPr="00916432" w:rsidRDefault="00916432" w:rsidP="00916432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916432">
        <w:rPr>
          <w:rFonts w:ascii="Arial" w:hAnsi="Arial" w:cs="Arial"/>
          <w:b/>
          <w:kern w:val="0"/>
          <w:sz w:val="24"/>
          <w:szCs w:val="24"/>
          <w14:ligatures w14:val="none"/>
        </w:rPr>
        <w:t>Obec Světlá Hora</w:t>
      </w:r>
    </w:p>
    <w:p w14:paraId="6634B1C1" w14:textId="77777777" w:rsidR="00916432" w:rsidRPr="00916432" w:rsidRDefault="00916432" w:rsidP="00916432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916432">
        <w:rPr>
          <w:rFonts w:ascii="Arial" w:hAnsi="Arial" w:cs="Arial"/>
          <w:b/>
          <w:kern w:val="0"/>
          <w:sz w:val="24"/>
          <w:szCs w:val="24"/>
          <w14:ligatures w14:val="none"/>
        </w:rPr>
        <w:t>Zastupitelstvo obce Světlá Hora</w:t>
      </w:r>
    </w:p>
    <w:p w14:paraId="0E942503" w14:textId="77777777" w:rsidR="00916432" w:rsidRPr="00916432" w:rsidRDefault="00916432" w:rsidP="00916432">
      <w:pPr>
        <w:keepNext/>
        <w:spacing w:after="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916432">
        <w:rPr>
          <w:rFonts w:ascii="Arial" w:hAnsi="Arial" w:cs="Arial"/>
          <w:b/>
          <w:kern w:val="0"/>
          <w:sz w:val="24"/>
          <w:szCs w:val="24"/>
          <w14:ligatures w14:val="none"/>
        </w:rPr>
        <w:t>Obecně závazná vyhláška obce Světlá Hora</w:t>
      </w:r>
    </w:p>
    <w:p w14:paraId="645CAD25" w14:textId="77777777" w:rsidR="00916432" w:rsidRPr="00916432" w:rsidRDefault="00916432" w:rsidP="00916432">
      <w:pPr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916432">
        <w:rPr>
          <w:rFonts w:ascii="Arial" w:hAnsi="Arial" w:cs="Arial"/>
          <w:b/>
          <w:kern w:val="0"/>
          <w:sz w:val="24"/>
          <w:szCs w:val="24"/>
          <w14:ligatures w14:val="none"/>
        </w:rPr>
        <w:t>o stanovení místního koeficientu pro jednotlivé skupiny nemovitých věcí</w:t>
      </w:r>
    </w:p>
    <w:p w14:paraId="526B421A" w14:textId="0D198E1D" w:rsidR="00916432" w:rsidRPr="00916432" w:rsidRDefault="00916432" w:rsidP="00916432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Zastupitelstvo obce Světlá Hora se na svém zasedání dne 13. 05. 2024</w:t>
      </w:r>
      <w:r w:rsidR="002B7A08">
        <w:rPr>
          <w:rFonts w:ascii="Arial" w:hAnsi="Arial" w:cs="Arial"/>
          <w:kern w:val="0"/>
          <w14:ligatures w14:val="none"/>
        </w:rPr>
        <w:t xml:space="preserve">, usnesením č. </w:t>
      </w:r>
      <w:r w:rsidR="006C5FD9">
        <w:rPr>
          <w:rFonts w:ascii="Arial" w:hAnsi="Arial" w:cs="Arial"/>
          <w:kern w:val="0"/>
          <w14:ligatures w14:val="none"/>
        </w:rPr>
        <w:t>Z11/2024/9</w:t>
      </w:r>
      <w:r w:rsidRPr="00916432">
        <w:rPr>
          <w:rFonts w:ascii="Arial" w:hAnsi="Arial" w:cs="Arial"/>
          <w:kern w:val="0"/>
          <w14:ligatures w14:val="none"/>
        </w:rPr>
        <w:t xml:space="preserve"> usneslo vydat na základě § 12 odst. 1 písm. a) bodu 4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77D3BB3B" w14:textId="77777777" w:rsidR="00916432" w:rsidRPr="00916432" w:rsidRDefault="00916432" w:rsidP="00916432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916432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10C2B3D5" w14:textId="77777777" w:rsidR="00916432" w:rsidRPr="00916432" w:rsidRDefault="00916432" w:rsidP="00916432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bookmarkStart w:id="0" w:name="_Hlk165362743"/>
      <w:r w:rsidRPr="00916432">
        <w:rPr>
          <w:rFonts w:ascii="Arial" w:hAnsi="Arial" w:cs="Arial"/>
          <w:b/>
          <w:kern w:val="0"/>
          <w:szCs w:val="24"/>
          <w14:ligatures w14:val="none"/>
        </w:rPr>
        <w:t>Místní koeficient pro jednotlivé skupiny nemovitých věcí</w:t>
      </w:r>
    </w:p>
    <w:bookmarkEnd w:id="0"/>
    <w:p w14:paraId="1879AD5A" w14:textId="77777777" w:rsidR="00916432" w:rsidRPr="00916432" w:rsidRDefault="00916432" w:rsidP="00916432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 xml:space="preserve">Obec Světlá Hora stanovuje místní koeficient pro jednotlivé skupiny pozemků dle § 5a odst. 1 zákona o dani z nemovitých věcí, a to v následující výši: </w:t>
      </w:r>
    </w:p>
    <w:p w14:paraId="0EFC074D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 xml:space="preserve">vybrané zemědělské pozemky 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0,6,</w:t>
      </w:r>
    </w:p>
    <w:p w14:paraId="75B0D1E3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trvalé travní porosty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0,6,</w:t>
      </w:r>
    </w:p>
    <w:p w14:paraId="1B70E528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lesní pozemky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1,0,</w:t>
      </w:r>
    </w:p>
    <w:p w14:paraId="5513F464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zemědělské zpevněné plochy pozemku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0,6,</w:t>
      </w:r>
    </w:p>
    <w:p w14:paraId="79937764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ostatní zpevněné plochy pozemku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0,6,</w:t>
      </w:r>
    </w:p>
    <w:p w14:paraId="29583A14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stavební pozemky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0,5,</w:t>
      </w:r>
    </w:p>
    <w:p w14:paraId="38B8E9C2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nevyužitelné ostatní plochy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1,5,</w:t>
      </w:r>
    </w:p>
    <w:p w14:paraId="28EC7ECF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jiné plochy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0,8,</w:t>
      </w:r>
    </w:p>
    <w:p w14:paraId="13C9A20B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vybrané ostatní plochy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1,0,</w:t>
      </w:r>
    </w:p>
    <w:p w14:paraId="395A477A" w14:textId="77777777" w:rsidR="00916432" w:rsidRPr="00916432" w:rsidRDefault="00916432" w:rsidP="00916432">
      <w:pPr>
        <w:numPr>
          <w:ilvl w:val="0"/>
          <w:numId w:val="2"/>
        </w:numPr>
        <w:tabs>
          <w:tab w:val="left" w:pos="1134"/>
        </w:tabs>
        <w:spacing w:after="120" w:line="276" w:lineRule="auto"/>
        <w:ind w:left="709" w:hanging="425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zastavěné plochy a nádvoří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0,8.</w:t>
      </w:r>
    </w:p>
    <w:p w14:paraId="5774F819" w14:textId="77777777" w:rsidR="00916432" w:rsidRPr="00916432" w:rsidRDefault="00916432" w:rsidP="00916432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 xml:space="preserve">Obec Světlá Hora stanovuje místní koeficient pro jednotlivé skupiny staveb a jednotek dle § 10a odst. 1 zákona o dani z nemovitých věcí, a to v následující výši: </w:t>
      </w:r>
    </w:p>
    <w:p w14:paraId="3D5EBCAF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obytné budovy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0,6,</w:t>
      </w:r>
    </w:p>
    <w:p w14:paraId="76796B19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rekreační budovy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4,0,</w:t>
      </w:r>
    </w:p>
    <w:p w14:paraId="2B0EA302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garáže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0,8,</w:t>
      </w:r>
    </w:p>
    <w:p w14:paraId="6B904031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17FB880C" w14:textId="77777777" w:rsidR="00916432" w:rsidRPr="00916432" w:rsidRDefault="00916432" w:rsidP="00916432">
      <w:pPr>
        <w:tabs>
          <w:tab w:val="left" w:pos="1134"/>
        </w:tabs>
        <w:spacing w:after="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podnikání v zemědělské prvovýrobě, lesním</w:t>
      </w:r>
    </w:p>
    <w:p w14:paraId="279EEBBC" w14:textId="77777777" w:rsidR="00916432" w:rsidRPr="00916432" w:rsidRDefault="00916432" w:rsidP="00916432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nebo vodním hospodářství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0,8,</w:t>
      </w:r>
    </w:p>
    <w:p w14:paraId="16C647B1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4FB91436" w14:textId="77777777" w:rsidR="00916432" w:rsidRPr="00916432" w:rsidRDefault="00916432" w:rsidP="00916432">
      <w:pPr>
        <w:tabs>
          <w:tab w:val="left" w:pos="1134"/>
        </w:tabs>
        <w:spacing w:after="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podnikání v průmyslu, stavebnictví, dopravě,</w:t>
      </w:r>
    </w:p>
    <w:p w14:paraId="0A493D54" w14:textId="77777777" w:rsidR="00916432" w:rsidRPr="00916432" w:rsidRDefault="00916432" w:rsidP="00916432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energetice nebo ostatní zemědělské výrobě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0,8,</w:t>
      </w:r>
    </w:p>
    <w:p w14:paraId="36C26D99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zdanitelné stavby a zdanitelné jednotky pro</w:t>
      </w:r>
    </w:p>
    <w:p w14:paraId="5BF35541" w14:textId="77777777" w:rsidR="00916432" w:rsidRPr="00916432" w:rsidRDefault="00916432" w:rsidP="00916432">
      <w:pPr>
        <w:tabs>
          <w:tab w:val="left" w:pos="1134"/>
        </w:tabs>
        <w:spacing w:after="120" w:line="276" w:lineRule="auto"/>
        <w:ind w:left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ostatní druhy podnikání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0,8,</w:t>
      </w:r>
    </w:p>
    <w:p w14:paraId="211A942E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ostatní zdanitelné stavby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0,8,</w:t>
      </w:r>
    </w:p>
    <w:p w14:paraId="13B35BF7" w14:textId="77777777" w:rsidR="00916432" w:rsidRPr="00916432" w:rsidRDefault="00916432" w:rsidP="00916432">
      <w:pPr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ostatní zdanitelné jednotky</w:t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</w:r>
      <w:r w:rsidRPr="00916432">
        <w:rPr>
          <w:rFonts w:ascii="Arial" w:hAnsi="Arial" w:cs="Arial"/>
          <w:kern w:val="0"/>
          <w14:ligatures w14:val="none"/>
        </w:rPr>
        <w:tab/>
        <w:t>koeficient 0,6.</w:t>
      </w:r>
    </w:p>
    <w:p w14:paraId="62DBCF7F" w14:textId="77777777" w:rsidR="00916432" w:rsidRPr="00916432" w:rsidRDefault="00916432" w:rsidP="00916432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lastRenderedPageBreak/>
        <w:t>Místní koeficient pro jednotlivou skupinu nemovitých věcí se vztahuje na všechny nemovité věci dané skupiny nemovitých věcí na území celé obce Světlá Hory.</w:t>
      </w:r>
      <w:r w:rsidRPr="00916432">
        <w:rPr>
          <w:rFonts w:ascii="Arial" w:hAnsi="Arial" w:cs="Arial"/>
          <w:kern w:val="0"/>
          <w:vertAlign w:val="superscript"/>
          <w14:ligatures w14:val="none"/>
        </w:rPr>
        <w:footnoteReference w:id="1"/>
      </w:r>
    </w:p>
    <w:p w14:paraId="25B420E4" w14:textId="77777777" w:rsidR="00916432" w:rsidRPr="00916432" w:rsidRDefault="00916432" w:rsidP="00916432">
      <w:pPr>
        <w:keepNext/>
        <w:spacing w:before="240"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916432">
        <w:rPr>
          <w:rFonts w:ascii="Arial" w:hAnsi="Arial" w:cs="Arial"/>
          <w:b/>
          <w:kern w:val="0"/>
          <w14:ligatures w14:val="none"/>
        </w:rPr>
        <w:t>Čl. 2</w:t>
      </w:r>
    </w:p>
    <w:p w14:paraId="0A5E97EF" w14:textId="77777777" w:rsidR="00916432" w:rsidRPr="00916432" w:rsidRDefault="00916432" w:rsidP="00916432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916432">
        <w:rPr>
          <w:rFonts w:ascii="Arial" w:hAnsi="Arial" w:cs="Arial"/>
          <w:b/>
          <w:kern w:val="0"/>
          <w14:ligatures w14:val="none"/>
        </w:rPr>
        <w:t>Zrušovací ustanovení</w:t>
      </w:r>
    </w:p>
    <w:p w14:paraId="69F75BC7" w14:textId="77777777" w:rsidR="00916432" w:rsidRPr="00916432" w:rsidRDefault="00916432" w:rsidP="00916432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Zrušuje se obecně závazná vyhláška obce</w:t>
      </w:r>
      <w:r w:rsidRPr="00916432">
        <w:rPr>
          <w:rFonts w:ascii="Arial" w:hAnsi="Arial" w:cs="Arial"/>
          <w:color w:val="00B0F0"/>
          <w:kern w:val="0"/>
          <w14:ligatures w14:val="none"/>
        </w:rPr>
        <w:t xml:space="preserve"> </w:t>
      </w:r>
      <w:r w:rsidRPr="00916432">
        <w:rPr>
          <w:rFonts w:ascii="Arial" w:hAnsi="Arial" w:cs="Arial"/>
          <w:kern w:val="0"/>
          <w14:ligatures w14:val="none"/>
        </w:rPr>
        <w:t>Světlá Hora č. 3/2022, o stanovení koeficientu pro výpočet daně z nemovitých věcí, ze dne 5. 9. 2022.</w:t>
      </w:r>
    </w:p>
    <w:p w14:paraId="5188C4B9" w14:textId="77777777" w:rsidR="00916432" w:rsidRPr="00916432" w:rsidRDefault="00916432" w:rsidP="00916432">
      <w:pPr>
        <w:keepNext/>
        <w:spacing w:before="240"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916432">
        <w:rPr>
          <w:rFonts w:ascii="Arial" w:hAnsi="Arial" w:cs="Arial"/>
          <w:b/>
          <w:kern w:val="0"/>
          <w14:ligatures w14:val="none"/>
        </w:rPr>
        <w:t>Čl. 3</w:t>
      </w:r>
    </w:p>
    <w:p w14:paraId="06EFC879" w14:textId="77777777" w:rsidR="00916432" w:rsidRPr="00916432" w:rsidRDefault="00916432" w:rsidP="00916432">
      <w:pPr>
        <w:keepNext/>
        <w:spacing w:after="120" w:line="276" w:lineRule="auto"/>
        <w:jc w:val="center"/>
        <w:rPr>
          <w:rFonts w:ascii="Arial" w:hAnsi="Arial" w:cs="Arial"/>
          <w:i/>
          <w:color w:val="FF0000"/>
          <w:kern w:val="0"/>
          <w:sz w:val="20"/>
          <w:szCs w:val="20"/>
          <w14:ligatures w14:val="none"/>
        </w:rPr>
      </w:pPr>
      <w:r w:rsidRPr="00916432">
        <w:rPr>
          <w:rFonts w:ascii="Arial" w:hAnsi="Arial" w:cs="Arial"/>
          <w:b/>
          <w:kern w:val="0"/>
          <w14:ligatures w14:val="none"/>
        </w:rPr>
        <w:t>Účinnost</w:t>
      </w:r>
    </w:p>
    <w:p w14:paraId="37EA8693" w14:textId="77777777" w:rsidR="00916432" w:rsidRPr="00916432" w:rsidRDefault="00916432" w:rsidP="00916432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rFonts w:ascii="Arial" w:hAnsi="Arial" w:cs="Arial"/>
          <w:kern w:val="0"/>
          <w14:ligatures w14:val="none"/>
        </w:rPr>
        <w:t>Tato obecně závazná vyhláška nabývá účinnosti dnem 1. ledna 2025.</w:t>
      </w:r>
    </w:p>
    <w:p w14:paraId="3B398D38" w14:textId="77777777" w:rsidR="00916432" w:rsidRDefault="00916432" w:rsidP="00916432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3937517F" w14:textId="77777777" w:rsidR="00916432" w:rsidRDefault="00916432" w:rsidP="00916432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69E6FC98" w14:textId="77777777" w:rsidR="00916432" w:rsidRPr="00916432" w:rsidRDefault="00916432" w:rsidP="00916432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</w:p>
    <w:p w14:paraId="29EB72B0" w14:textId="0C8EFC7A" w:rsidR="00916432" w:rsidRPr="00916432" w:rsidRDefault="00916432" w:rsidP="00916432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916432">
        <w:rPr>
          <w:noProof/>
        </w:rPr>
        <w:drawing>
          <wp:inline distT="0" distB="0" distL="0" distR="0" wp14:anchorId="5B5F96EC" wp14:editId="48B40360">
            <wp:extent cx="5760720" cy="685800"/>
            <wp:effectExtent l="0" t="0" r="0" b="0"/>
            <wp:docPr id="5836505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89AE2" w14:textId="77777777" w:rsidR="00257F01" w:rsidRDefault="00257F01"/>
    <w:sectPr w:rsidR="00257F01" w:rsidSect="0091643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0BB09" w14:textId="77777777" w:rsidR="00916432" w:rsidRDefault="00916432" w:rsidP="00916432">
      <w:pPr>
        <w:spacing w:after="0" w:line="240" w:lineRule="auto"/>
      </w:pPr>
      <w:r>
        <w:separator/>
      </w:r>
    </w:p>
  </w:endnote>
  <w:endnote w:type="continuationSeparator" w:id="0">
    <w:p w14:paraId="3F49AD3E" w14:textId="77777777" w:rsidR="00916432" w:rsidRDefault="00916432" w:rsidP="0091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344C1" w14:textId="77777777" w:rsidR="00916432" w:rsidRDefault="00916432" w:rsidP="00916432">
      <w:pPr>
        <w:spacing w:after="0" w:line="240" w:lineRule="auto"/>
      </w:pPr>
      <w:r>
        <w:separator/>
      </w:r>
    </w:p>
  </w:footnote>
  <w:footnote w:type="continuationSeparator" w:id="0">
    <w:p w14:paraId="3CC483D6" w14:textId="77777777" w:rsidR="00916432" w:rsidRDefault="00916432" w:rsidP="00916432">
      <w:pPr>
        <w:spacing w:after="0" w:line="240" w:lineRule="auto"/>
      </w:pPr>
      <w:r>
        <w:continuationSeparator/>
      </w:r>
    </w:p>
  </w:footnote>
  <w:footnote w:id="1">
    <w:p w14:paraId="15430257" w14:textId="77777777" w:rsidR="00916432" w:rsidRPr="00964558" w:rsidRDefault="00916432" w:rsidP="00916432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CC4B8C0"/>
    <w:lvl w:ilvl="0" w:tplc="445858F8">
      <w:start w:val="1"/>
      <w:numFmt w:val="lowerLetter"/>
      <w:lvlText w:val="%1)"/>
      <w:lvlJc w:val="left"/>
      <w:pPr>
        <w:ind w:left="578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479537">
    <w:abstractNumId w:val="1"/>
  </w:num>
  <w:num w:numId="2" w16cid:durableId="397827022">
    <w:abstractNumId w:val="0"/>
  </w:num>
  <w:num w:numId="3" w16cid:durableId="149587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32"/>
    <w:rsid w:val="00147E77"/>
    <w:rsid w:val="00257F01"/>
    <w:rsid w:val="002B7A08"/>
    <w:rsid w:val="00363412"/>
    <w:rsid w:val="006C5FD9"/>
    <w:rsid w:val="00916432"/>
    <w:rsid w:val="00DA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7610"/>
  <w15:chartTrackingRefBased/>
  <w15:docId w15:val="{A8CAAB9D-589D-4744-B194-89F47456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6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6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6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6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6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6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6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6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6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6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6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64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64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64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64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64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64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6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6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6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6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6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64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64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64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6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64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6432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6432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43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16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Vodrážková Jana</dc:creator>
  <cp:keywords/>
  <dc:description/>
  <cp:lastModifiedBy>Vodrážková Jana</cp:lastModifiedBy>
  <cp:revision>3</cp:revision>
  <dcterms:created xsi:type="dcterms:W3CDTF">2024-05-20T11:41:00Z</dcterms:created>
  <dcterms:modified xsi:type="dcterms:W3CDTF">2024-05-28T05:54:00Z</dcterms:modified>
</cp:coreProperties>
</file>