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3BC138E" w14:textId="77777777" w:rsidR="00D153AA" w:rsidRDefault="00D153A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Horažďovice</w:t>
      </w:r>
    </w:p>
    <w:p w14:paraId="182B433B" w14:textId="7E72831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153AA">
        <w:rPr>
          <w:rFonts w:ascii="Arial" w:hAnsi="Arial" w:cs="Arial"/>
          <w:b/>
        </w:rPr>
        <w:t>města Horažďovice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CBD437E" w14:textId="77777777" w:rsidR="00D153A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D153AA">
        <w:rPr>
          <w:rFonts w:ascii="Arial" w:hAnsi="Arial" w:cs="Arial"/>
          <w:b/>
        </w:rPr>
        <w:t xml:space="preserve"> města</w:t>
      </w:r>
    </w:p>
    <w:p w14:paraId="0C9CD16E" w14:textId="42DABE24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B8479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153AA">
        <w:rPr>
          <w:rFonts w:ascii="Arial" w:hAnsi="Arial" w:cs="Arial"/>
          <w:sz w:val="22"/>
          <w:szCs w:val="22"/>
        </w:rPr>
        <w:t xml:space="preserve">města Horažďovice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84B89">
        <w:rPr>
          <w:rFonts w:ascii="Arial" w:hAnsi="Arial" w:cs="Arial"/>
          <w:sz w:val="22"/>
          <w:szCs w:val="22"/>
        </w:rPr>
        <w:t>13.</w:t>
      </w:r>
      <w:r w:rsidR="00D20A67">
        <w:rPr>
          <w:rFonts w:ascii="Arial" w:hAnsi="Arial" w:cs="Arial"/>
          <w:sz w:val="22"/>
          <w:szCs w:val="22"/>
        </w:rPr>
        <w:t xml:space="preserve"> prosince </w:t>
      </w:r>
      <w:r w:rsidR="00484B89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7BB6234" w:rsidR="00893F98" w:rsidRPr="0001228D" w:rsidRDefault="00D153A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Horažďovice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E38F81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D153AA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4893B5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614071">
        <w:rPr>
          <w:rFonts w:ascii="Arial" w:hAnsi="Arial" w:cs="Arial"/>
          <w:sz w:val="22"/>
          <w:szCs w:val="22"/>
        </w:rPr>
        <w:t>;</w:t>
      </w:r>
      <w:r w:rsidR="00614071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D153AA">
        <w:rPr>
          <w:rFonts w:ascii="Arial" w:hAnsi="Arial" w:cs="Arial"/>
          <w:sz w:val="22"/>
          <w:szCs w:val="22"/>
        </w:rPr>
        <w:t xml:space="preserve">městu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D153AA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87A9B03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153AA">
        <w:rPr>
          <w:rFonts w:ascii="Arial" w:hAnsi="Arial" w:cs="Arial"/>
          <w:sz w:val="22"/>
          <w:szCs w:val="22"/>
        </w:rPr>
        <w:t xml:space="preserve"> 15 d</w:t>
      </w:r>
      <w:r w:rsidR="005F094F" w:rsidRPr="00833C29">
        <w:rPr>
          <w:rFonts w:ascii="Arial" w:hAnsi="Arial" w:cs="Arial"/>
          <w:sz w:val="22"/>
          <w:szCs w:val="22"/>
        </w:rPr>
        <w:t>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80F1B98" w14:textId="43AE37BB" w:rsidR="00697426" w:rsidRPr="005E4183" w:rsidRDefault="00697426" w:rsidP="00697426">
      <w:pPr>
        <w:pStyle w:val="l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E4183">
        <w:rPr>
          <w:rFonts w:ascii="Arial" w:hAnsi="Arial" w:cs="Arial"/>
          <w:i/>
          <w:color w:val="000000"/>
          <w:sz w:val="20"/>
          <w:szCs w:val="20"/>
        </w:rPr>
        <w:t>V ohlášení poplatník uvede</w:t>
      </w:r>
    </w:p>
    <w:p w14:paraId="26A293BA" w14:textId="77777777" w:rsidR="00697426" w:rsidRPr="005E4183" w:rsidRDefault="00697426" w:rsidP="00697426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E4183">
        <w:rPr>
          <w:rStyle w:val="PromnnHTML"/>
          <w:rFonts w:ascii="Arial" w:hAnsi="Arial" w:cs="Arial"/>
          <w:bCs/>
          <w:iCs w:val="0"/>
          <w:color w:val="000000"/>
          <w:sz w:val="20"/>
          <w:szCs w:val="20"/>
        </w:rPr>
        <w:t>a)</w:t>
      </w:r>
      <w:r w:rsidRPr="005E4183">
        <w:rPr>
          <w:rFonts w:ascii="Arial" w:hAnsi="Arial" w:cs="Arial"/>
          <w:i/>
          <w:color w:val="000000"/>
          <w:sz w:val="20"/>
          <w:szCs w:val="20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60A0390" w14:textId="414CEC11" w:rsidR="00697426" w:rsidRPr="005E4183" w:rsidRDefault="00697426" w:rsidP="00697426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E4183">
        <w:rPr>
          <w:rStyle w:val="PromnnHTML"/>
          <w:rFonts w:ascii="Arial" w:hAnsi="Arial" w:cs="Arial"/>
          <w:bCs/>
          <w:iCs w:val="0"/>
          <w:color w:val="000000"/>
          <w:sz w:val="20"/>
          <w:szCs w:val="20"/>
        </w:rPr>
        <w:lastRenderedPageBreak/>
        <w:t>b)</w:t>
      </w:r>
      <w:r w:rsidRPr="005E4183">
        <w:rPr>
          <w:rFonts w:ascii="Arial" w:hAnsi="Arial" w:cs="Arial"/>
          <w:i/>
          <w:color w:val="000000"/>
          <w:sz w:val="20"/>
          <w:szCs w:val="20"/>
        </w:rPr>
        <w:t> 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09377F9C" w14:textId="31489D5F" w:rsidR="00697426" w:rsidRPr="005E4183" w:rsidRDefault="00697426" w:rsidP="00697426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E4183">
        <w:rPr>
          <w:rStyle w:val="PromnnHTML"/>
          <w:rFonts w:ascii="Arial" w:hAnsi="Arial" w:cs="Arial"/>
          <w:bCs/>
          <w:iCs w:val="0"/>
          <w:color w:val="000000"/>
          <w:sz w:val="20"/>
          <w:szCs w:val="20"/>
        </w:rPr>
        <w:t>c)</w:t>
      </w:r>
      <w:r w:rsidRPr="005E4183">
        <w:rPr>
          <w:rFonts w:ascii="Arial" w:hAnsi="Arial" w:cs="Arial"/>
          <w:i/>
          <w:color w:val="000000"/>
          <w:sz w:val="20"/>
          <w:szCs w:val="20"/>
        </w:rPr>
        <w:t> údaje rozhodné pro stanovení poplatku.</w:t>
      </w:r>
    </w:p>
    <w:p w14:paraId="49CA190E" w14:textId="77777777" w:rsidR="00012077" w:rsidRPr="00697426" w:rsidRDefault="00012077" w:rsidP="00697426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4015426" w14:textId="26EA5EA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D153AA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4D2FCED8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tbl>
      <w:tblPr>
        <w:tblW w:w="905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4600"/>
        <w:gridCol w:w="2080"/>
        <w:gridCol w:w="2060"/>
      </w:tblGrid>
      <w:tr w:rsidR="00404B93" w:rsidRPr="00FD1E89" w14:paraId="4E557C8D" w14:textId="77777777" w:rsidTr="008179E0">
        <w:trPr>
          <w:trHeight w:val="5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47EB8C" w14:textId="77777777" w:rsidR="00404B93" w:rsidRPr="00FD1E89" w:rsidRDefault="00404B93" w:rsidP="008179E0">
            <w:pPr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4084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pes chovaný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BB5BC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za prvého psa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C677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za druhého a každého dalšího psa</w:t>
            </w:r>
          </w:p>
        </w:tc>
      </w:tr>
      <w:tr w:rsidR="00404B93" w:rsidRPr="00FD1E89" w14:paraId="58D62959" w14:textId="77777777" w:rsidTr="008179E0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980557" w14:textId="77777777" w:rsidR="00404B93" w:rsidRPr="00FD1E89" w:rsidRDefault="00404B93" w:rsidP="008179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1A576" w14:textId="2EE52C04" w:rsidR="00404B93" w:rsidRPr="00690FB2" w:rsidRDefault="00033F8D" w:rsidP="00750730">
            <w:pPr>
              <w:rPr>
                <w:rFonts w:ascii="Arial" w:hAnsi="Arial" w:cs="Arial"/>
                <w:sz w:val="22"/>
                <w:szCs w:val="22"/>
              </w:rPr>
            </w:pPr>
            <w:r w:rsidRPr="00690FB2">
              <w:rPr>
                <w:rFonts w:ascii="Arial" w:hAnsi="Arial" w:cs="Arial"/>
                <w:sz w:val="22"/>
                <w:szCs w:val="22"/>
              </w:rPr>
              <w:t>v rodinném domě v části města Horažďovice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64F3" w14:textId="7D730BC2" w:rsidR="00404B93" w:rsidRPr="00FD1E89" w:rsidRDefault="00033F8D" w:rsidP="00033F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04B93"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EAA40" w14:textId="7655AEF2" w:rsidR="00404B93" w:rsidRPr="00FD1E89" w:rsidRDefault="00404B93" w:rsidP="0069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0FB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00 Kč</w:t>
            </w:r>
          </w:p>
        </w:tc>
      </w:tr>
      <w:tr w:rsidR="00033F8D" w:rsidRPr="00FD1E89" w14:paraId="35E22B89" w14:textId="77777777" w:rsidTr="008179E0">
        <w:trPr>
          <w:trHeight w:val="30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FD1BD7" w14:textId="77777777" w:rsidR="00033F8D" w:rsidRPr="00FD1E89" w:rsidRDefault="00033F8D" w:rsidP="00033F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21DF25" w14:textId="57951409" w:rsidR="00033F8D" w:rsidRPr="00690FB2" w:rsidRDefault="00033F8D" w:rsidP="00033F8D">
            <w:pPr>
              <w:rPr>
                <w:rFonts w:ascii="Arial" w:hAnsi="Arial" w:cs="Arial"/>
                <w:sz w:val="22"/>
                <w:szCs w:val="22"/>
              </w:rPr>
            </w:pPr>
            <w:r w:rsidRPr="00690FB2">
              <w:rPr>
                <w:rFonts w:ascii="Arial" w:hAnsi="Arial" w:cs="Arial"/>
                <w:sz w:val="22"/>
                <w:szCs w:val="22"/>
              </w:rPr>
              <w:t>v bytovém domě a ostatních objektech a místech v části města Horažďovice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A78B0" w14:textId="1F6FA9DF" w:rsidR="00033F8D" w:rsidRPr="00FD1E89" w:rsidRDefault="00033F8D" w:rsidP="00033F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4E782" w14:textId="09913AE7" w:rsidR="00033F8D" w:rsidRPr="00FD1E89" w:rsidRDefault="00033F8D" w:rsidP="00033F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1 0</w:t>
            </w: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00 Kč</w:t>
            </w:r>
          </w:p>
        </w:tc>
      </w:tr>
      <w:tr w:rsidR="00033F8D" w:rsidRPr="00FD1E89" w14:paraId="5B986F95" w14:textId="77777777" w:rsidTr="008179E0">
        <w:trPr>
          <w:trHeight w:val="10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AD0148" w14:textId="77777777" w:rsidR="00033F8D" w:rsidRPr="00FD1E89" w:rsidRDefault="00033F8D" w:rsidP="00033F8D">
            <w:pPr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7112E" w14:textId="273A6A49" w:rsidR="00033F8D" w:rsidRPr="00690FB2" w:rsidRDefault="00033F8D" w:rsidP="00033F8D">
            <w:pPr>
              <w:rPr>
                <w:rFonts w:ascii="Arial" w:hAnsi="Arial" w:cs="Arial"/>
                <w:sz w:val="22"/>
                <w:szCs w:val="22"/>
              </w:rPr>
            </w:pPr>
            <w:r w:rsidRPr="00690FB2">
              <w:rPr>
                <w:rFonts w:ascii="Arial" w:hAnsi="Arial" w:cs="Arial"/>
                <w:sz w:val="22"/>
                <w:szCs w:val="22"/>
              </w:rPr>
              <w:t xml:space="preserve">v částech města: </w:t>
            </w:r>
            <w:r w:rsidR="00690FB2">
              <w:rPr>
                <w:rFonts w:ascii="Arial" w:hAnsi="Arial" w:cs="Arial"/>
                <w:sz w:val="22"/>
                <w:szCs w:val="22"/>
              </w:rPr>
              <w:t xml:space="preserve">Babín, Boubín, </w:t>
            </w:r>
            <w:r w:rsidRPr="00690FB2">
              <w:rPr>
                <w:rFonts w:ascii="Arial" w:hAnsi="Arial" w:cs="Arial"/>
                <w:sz w:val="22"/>
                <w:szCs w:val="22"/>
              </w:rPr>
              <w:t xml:space="preserve">Komušín, </w:t>
            </w:r>
          </w:p>
          <w:p w14:paraId="37FAEC60" w14:textId="77777777" w:rsidR="00033F8D" w:rsidRPr="00FD1E89" w:rsidRDefault="00033F8D" w:rsidP="00033F8D">
            <w:pPr>
              <w:rPr>
                <w:rFonts w:ascii="Arial" w:hAnsi="Arial" w:cs="Arial"/>
                <w:sz w:val="22"/>
                <w:szCs w:val="22"/>
              </w:rPr>
            </w:pPr>
            <w:r w:rsidRPr="00690FB2">
              <w:rPr>
                <w:rFonts w:ascii="Arial" w:hAnsi="Arial" w:cs="Arial"/>
                <w:sz w:val="22"/>
                <w:szCs w:val="22"/>
              </w:rPr>
              <w:t xml:space="preserve">Horažďovická Lhota, Svaté Pole, Třebomyslice, Veřechov, v ulici Předměstí </w:t>
            </w:r>
            <w:r w:rsidRPr="00FD1E89">
              <w:rPr>
                <w:rFonts w:ascii="Arial" w:hAnsi="Arial" w:cs="Arial"/>
                <w:sz w:val="22"/>
                <w:szCs w:val="22"/>
              </w:rPr>
              <w:t xml:space="preserve">a na samotách (čp. 125, 433, 688, 689, 690, 691, 809)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F079" w14:textId="77777777" w:rsidR="00033F8D" w:rsidRPr="00FD1E89" w:rsidRDefault="00033F8D" w:rsidP="00033F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100 Kč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2461" w14:textId="77777777" w:rsidR="00033F8D" w:rsidRPr="00FD1E89" w:rsidRDefault="00033F8D" w:rsidP="00033F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200 Kč</w:t>
            </w:r>
          </w:p>
        </w:tc>
      </w:tr>
    </w:tbl>
    <w:p w14:paraId="3E1F1F2B" w14:textId="25A50BA6" w:rsidR="00D153AA" w:rsidRDefault="00D153AA" w:rsidP="00D153A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218FA9" w14:textId="77777777" w:rsidR="00404B93" w:rsidRDefault="00404B93" w:rsidP="00404B9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914A91" w14:textId="77777777" w:rsidR="00404B93" w:rsidRDefault="00404B93" w:rsidP="00404B93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</w:t>
      </w:r>
    </w:p>
    <w:tbl>
      <w:tblPr>
        <w:tblW w:w="905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4600"/>
        <w:gridCol w:w="2080"/>
        <w:gridCol w:w="2060"/>
      </w:tblGrid>
      <w:tr w:rsidR="00404B93" w:rsidRPr="00FD1E89" w14:paraId="3A28D6E5" w14:textId="77777777" w:rsidTr="008179E0">
        <w:trPr>
          <w:trHeight w:val="5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E68666" w14:textId="77777777" w:rsidR="00404B93" w:rsidRPr="00FD1E89" w:rsidRDefault="00404B93" w:rsidP="008179E0">
            <w:pPr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EDC48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pes chovaný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9F35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za prvého psa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9810E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za druhého a každého dalšího psa</w:t>
            </w:r>
          </w:p>
        </w:tc>
      </w:tr>
      <w:tr w:rsidR="00404B93" w:rsidRPr="00FD1E89" w14:paraId="7B15AD95" w14:textId="77777777" w:rsidTr="008179E0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C8DCBE" w14:textId="77777777" w:rsidR="00404B93" w:rsidRPr="00FD1E89" w:rsidRDefault="00404B93" w:rsidP="008179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3EC9" w14:textId="6421971A" w:rsidR="00404B93" w:rsidRPr="00690FB2" w:rsidRDefault="00404B93" w:rsidP="00EB3265">
            <w:pPr>
              <w:rPr>
                <w:rFonts w:ascii="Arial" w:hAnsi="Arial" w:cs="Arial"/>
                <w:sz w:val="22"/>
                <w:szCs w:val="22"/>
              </w:rPr>
            </w:pPr>
            <w:r w:rsidRPr="00690FB2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B3265" w:rsidRPr="00690FB2">
              <w:rPr>
                <w:rFonts w:ascii="Arial" w:hAnsi="Arial" w:cs="Arial"/>
                <w:sz w:val="22"/>
                <w:szCs w:val="22"/>
              </w:rPr>
              <w:t>části města Horažďovice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A9617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200 Kč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A795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300 Kč</w:t>
            </w:r>
          </w:p>
        </w:tc>
      </w:tr>
      <w:tr w:rsidR="00404B93" w:rsidRPr="00FD1E89" w14:paraId="4D55CA2F" w14:textId="77777777" w:rsidTr="008179E0">
        <w:trPr>
          <w:trHeight w:val="86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B11EA6" w14:textId="77777777" w:rsidR="00404B93" w:rsidRPr="00FD1E89" w:rsidRDefault="00404B93" w:rsidP="008179E0">
            <w:pPr>
              <w:rPr>
                <w:rFonts w:ascii="Arial" w:hAnsi="Arial" w:cs="Arial"/>
                <w:sz w:val="22"/>
                <w:szCs w:val="22"/>
              </w:rPr>
            </w:pPr>
            <w:r w:rsidRPr="00FD1E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80F9" w14:textId="0DBA194D" w:rsidR="00404B93" w:rsidRPr="00690FB2" w:rsidRDefault="00404B93" w:rsidP="008179E0">
            <w:pPr>
              <w:rPr>
                <w:rFonts w:ascii="Arial" w:hAnsi="Arial" w:cs="Arial"/>
                <w:sz w:val="22"/>
                <w:szCs w:val="22"/>
              </w:rPr>
            </w:pPr>
            <w:r w:rsidRPr="00690FB2">
              <w:rPr>
                <w:rFonts w:ascii="Arial" w:hAnsi="Arial" w:cs="Arial"/>
                <w:sz w:val="22"/>
                <w:szCs w:val="22"/>
              </w:rPr>
              <w:t xml:space="preserve">v částech </w:t>
            </w:r>
            <w:r w:rsidR="00EB3265" w:rsidRPr="00690FB2">
              <w:rPr>
                <w:rFonts w:ascii="Arial" w:hAnsi="Arial" w:cs="Arial"/>
                <w:sz w:val="22"/>
                <w:szCs w:val="22"/>
              </w:rPr>
              <w:t>města</w:t>
            </w:r>
            <w:r w:rsidRPr="00690FB2">
              <w:rPr>
                <w:rFonts w:ascii="Arial" w:hAnsi="Arial" w:cs="Arial"/>
                <w:sz w:val="22"/>
                <w:szCs w:val="22"/>
              </w:rPr>
              <w:t xml:space="preserve">: Babín, Boubín, Komušín, </w:t>
            </w:r>
          </w:p>
          <w:p w14:paraId="4DEDB2EA" w14:textId="77777777" w:rsidR="00404B93" w:rsidRPr="00690FB2" w:rsidRDefault="00404B93" w:rsidP="008179E0">
            <w:pPr>
              <w:rPr>
                <w:rFonts w:ascii="Arial" w:hAnsi="Arial" w:cs="Arial"/>
                <w:sz w:val="22"/>
                <w:szCs w:val="22"/>
              </w:rPr>
            </w:pPr>
            <w:r w:rsidRPr="00690FB2">
              <w:rPr>
                <w:rFonts w:ascii="Arial" w:hAnsi="Arial" w:cs="Arial"/>
                <w:sz w:val="22"/>
                <w:szCs w:val="22"/>
              </w:rPr>
              <w:t>Horažďovická Lhota, Svaté Pole, Třebomyslice, Veřechov , v ulici Předměstí a na samotách (čp. 125, 433, 688, 689, 690, 691, 809)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888F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50 Kč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AFB7" w14:textId="77777777" w:rsidR="00404B93" w:rsidRPr="00FD1E89" w:rsidRDefault="00404B93" w:rsidP="008179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E89">
              <w:rPr>
                <w:rFonts w:ascii="Arial" w:hAnsi="Arial" w:cs="Arial"/>
                <w:b/>
                <w:bCs/>
                <w:sz w:val="22"/>
                <w:szCs w:val="22"/>
              </w:rPr>
              <w:t>100 Kč</w:t>
            </w:r>
          </w:p>
        </w:tc>
      </w:tr>
    </w:tbl>
    <w:p w14:paraId="47BC9F12" w14:textId="77777777" w:rsidR="00404B93" w:rsidRDefault="00404B93" w:rsidP="00D153A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358DB" w14:textId="2C9C042B" w:rsidR="007F423A" w:rsidRPr="00AE79CC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58A9A7" w14:textId="77777777" w:rsidR="00AE79CC" w:rsidRDefault="00AE79CC" w:rsidP="00DC7821">
      <w:pPr>
        <w:suppressAutoHyphens/>
        <w:autoSpaceDN w:val="0"/>
        <w:spacing w:before="120" w:line="288" w:lineRule="auto"/>
        <w:ind w:left="567"/>
        <w:jc w:val="both"/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D3831E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04B93">
        <w:rPr>
          <w:rFonts w:ascii="Arial" w:hAnsi="Arial" w:cs="Arial"/>
          <w:sz w:val="22"/>
          <w:szCs w:val="22"/>
        </w:rPr>
        <w:t xml:space="preserve">31. </w:t>
      </w:r>
      <w:r w:rsidR="005B6F1B">
        <w:rPr>
          <w:rFonts w:ascii="Arial" w:hAnsi="Arial" w:cs="Arial"/>
          <w:sz w:val="22"/>
          <w:szCs w:val="22"/>
        </w:rPr>
        <w:t xml:space="preserve">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AD15F2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lastRenderedPageBreak/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04B9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CB1CFF6" w14:textId="2D2C3804" w:rsidR="00404B93" w:rsidRPr="00F05DA7" w:rsidRDefault="00404B93" w:rsidP="00404B9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5DA7">
        <w:rPr>
          <w:rFonts w:ascii="Arial" w:hAnsi="Arial" w:cs="Arial"/>
          <w:sz w:val="22"/>
          <w:szCs w:val="22"/>
        </w:rPr>
        <w:t xml:space="preserve">Úleva se poskytuje </w:t>
      </w:r>
      <w:r w:rsidRPr="00F05DA7">
        <w:rPr>
          <w:rFonts w:ascii="Arial" w:hAnsi="Arial" w:cs="Arial"/>
          <w:snapToGrid w:val="0"/>
          <w:sz w:val="22"/>
          <w:szCs w:val="22"/>
        </w:rPr>
        <w:t>držiteli psa, který je poživatelem invalidního, vdovského nebo vdoveckého důchodu, který je jeho jediným zdrojem příjmů, anebo poživatelem sirotčího důchodu</w:t>
      </w:r>
      <w:r w:rsidRPr="00F05DA7">
        <w:t xml:space="preserve"> </w:t>
      </w:r>
      <w:r w:rsidRPr="00F05DA7">
        <w:rPr>
          <w:rFonts w:ascii="Arial" w:hAnsi="Arial" w:cs="Arial"/>
          <w:snapToGrid w:val="0"/>
          <w:sz w:val="22"/>
          <w:szCs w:val="22"/>
        </w:rPr>
        <w:t>přičemž výše sazby poplatku za kalendářní rok pro tyto osoby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05DA7">
        <w:rPr>
          <w:rFonts w:ascii="Arial" w:hAnsi="Arial" w:cs="Arial"/>
          <w:snapToGrid w:val="0"/>
          <w:sz w:val="22"/>
          <w:szCs w:val="22"/>
        </w:rPr>
        <w:t>odpovídá sazbám stanoveným v</w:t>
      </w:r>
      <w:r w:rsidR="00FA70C1">
        <w:rPr>
          <w:rFonts w:ascii="Arial" w:hAnsi="Arial" w:cs="Arial"/>
          <w:snapToGrid w:val="0"/>
          <w:sz w:val="22"/>
          <w:szCs w:val="22"/>
        </w:rPr>
        <w:t> č</w:t>
      </w:r>
      <w:r w:rsidRPr="00F05DA7">
        <w:rPr>
          <w:rFonts w:ascii="Arial" w:hAnsi="Arial" w:cs="Arial"/>
          <w:snapToGrid w:val="0"/>
          <w:sz w:val="22"/>
          <w:szCs w:val="22"/>
        </w:rPr>
        <w:t>l. 4 odst. 2 této vyhlášky.</w:t>
      </w:r>
    </w:p>
    <w:p w14:paraId="44CC03D0" w14:textId="77777777" w:rsidR="00404B93" w:rsidRDefault="00404B93" w:rsidP="00404B93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1BB2CBC" w14:textId="77777777" w:rsidR="00404B93" w:rsidRDefault="00404B93" w:rsidP="00404B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848F522" w:rsidR="009E6604" w:rsidRPr="00D5293B" w:rsidRDefault="009E6604" w:rsidP="00D5293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04B93">
        <w:rPr>
          <w:rFonts w:ascii="Arial" w:hAnsi="Arial" w:cs="Arial"/>
          <w:sz w:val="22"/>
          <w:szCs w:val="22"/>
        </w:rPr>
        <w:t>3/2019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D5293B">
        <w:rPr>
          <w:rFonts w:ascii="Arial" w:hAnsi="Arial" w:cs="Arial"/>
          <w:sz w:val="22"/>
          <w:szCs w:val="22"/>
        </w:rPr>
        <w:t xml:space="preserve"> </w:t>
      </w:r>
      <w:r w:rsidR="00404B93" w:rsidRPr="00D5293B">
        <w:rPr>
          <w:rFonts w:ascii="Arial" w:hAnsi="Arial" w:cs="Arial"/>
          <w:sz w:val="22"/>
          <w:szCs w:val="22"/>
        </w:rPr>
        <w:t>11.</w:t>
      </w:r>
      <w:r w:rsidR="005B6F1B">
        <w:rPr>
          <w:rFonts w:ascii="Arial" w:hAnsi="Arial" w:cs="Arial"/>
          <w:sz w:val="22"/>
          <w:szCs w:val="22"/>
        </w:rPr>
        <w:t xml:space="preserve"> </w:t>
      </w:r>
      <w:r w:rsidR="00D26A49">
        <w:rPr>
          <w:rFonts w:ascii="Arial" w:hAnsi="Arial" w:cs="Arial"/>
          <w:sz w:val="22"/>
          <w:szCs w:val="22"/>
        </w:rPr>
        <w:t> </w:t>
      </w:r>
      <w:r w:rsidR="005B6F1B">
        <w:rPr>
          <w:rFonts w:ascii="Arial" w:hAnsi="Arial" w:cs="Arial"/>
          <w:sz w:val="22"/>
          <w:szCs w:val="22"/>
        </w:rPr>
        <w:t xml:space="preserve">prosince </w:t>
      </w:r>
      <w:r w:rsidR="00404B93" w:rsidRPr="00D5293B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ADA69E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B6F1B">
        <w:rPr>
          <w:rFonts w:ascii="Arial" w:hAnsi="Arial" w:cs="Arial"/>
          <w:sz w:val="22"/>
          <w:szCs w:val="22"/>
        </w:rPr>
        <w:t xml:space="preserve"> 1. ledna </w:t>
      </w:r>
      <w:r w:rsidR="00D5293B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3BE309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0B863C08" w14:textId="5272AF54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D5293B">
        <w:rPr>
          <w:rFonts w:ascii="Arial" w:hAnsi="Arial" w:cs="Arial"/>
          <w:i/>
          <w:sz w:val="22"/>
          <w:szCs w:val="22"/>
        </w:rPr>
        <w:t>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</w:t>
      </w:r>
      <w:r w:rsidR="00D5293B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</w:t>
      </w:r>
    </w:p>
    <w:p w14:paraId="37B9AEB6" w14:textId="463FDDA2" w:rsidR="00A80117" w:rsidRPr="000C2DC4" w:rsidRDefault="00D5293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Michael Forman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Hana Kalná v.</w:t>
      </w:r>
      <w:r w:rsidR="00FC04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D54ED93" w14:textId="7DF4CD50" w:rsidR="00A80117" w:rsidRPr="00E836B1" w:rsidRDefault="00A80117" w:rsidP="00D5293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B6F1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 w:rsidR="005B6F1B">
        <w:rPr>
          <w:rFonts w:ascii="Arial" w:hAnsi="Arial" w:cs="Arial"/>
          <w:sz w:val="22"/>
          <w:szCs w:val="22"/>
        </w:rPr>
        <w:t xml:space="preserve">  </w:t>
      </w:r>
      <w:r w:rsidR="005B6F1B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="00D5293B">
        <w:rPr>
          <w:rFonts w:ascii="Arial" w:hAnsi="Arial" w:cs="Arial"/>
          <w:sz w:val="22"/>
          <w:szCs w:val="22"/>
        </w:rPr>
        <w:t>starostka</w:t>
      </w: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E89EC" w14:textId="77777777" w:rsidR="00270B5F" w:rsidRDefault="00270B5F">
      <w:r>
        <w:separator/>
      </w:r>
    </w:p>
  </w:endnote>
  <w:endnote w:type="continuationSeparator" w:id="0">
    <w:p w14:paraId="1C994A11" w14:textId="77777777" w:rsidR="00270B5F" w:rsidRDefault="0027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3EA12BC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709B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A3764" w14:textId="77777777" w:rsidR="00270B5F" w:rsidRDefault="00270B5F">
      <w:r>
        <w:separator/>
      </w:r>
    </w:p>
  </w:footnote>
  <w:footnote w:type="continuationSeparator" w:id="0">
    <w:p w14:paraId="1A66472C" w14:textId="77777777" w:rsidR="00270B5F" w:rsidRDefault="00270B5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077"/>
    <w:rsid w:val="0001228D"/>
    <w:rsid w:val="00017A98"/>
    <w:rsid w:val="00033F8D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1875"/>
    <w:rsid w:val="002018AD"/>
    <w:rsid w:val="002223EB"/>
    <w:rsid w:val="00237FD0"/>
    <w:rsid w:val="0025437E"/>
    <w:rsid w:val="00270B5F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574AB"/>
    <w:rsid w:val="00364828"/>
    <w:rsid w:val="003709B3"/>
    <w:rsid w:val="003729C0"/>
    <w:rsid w:val="0038221A"/>
    <w:rsid w:val="003C1B30"/>
    <w:rsid w:val="003D6810"/>
    <w:rsid w:val="003E405C"/>
    <w:rsid w:val="003F4FD0"/>
    <w:rsid w:val="00403D44"/>
    <w:rsid w:val="00404B93"/>
    <w:rsid w:val="00405FFB"/>
    <w:rsid w:val="004141B8"/>
    <w:rsid w:val="00423EC6"/>
    <w:rsid w:val="00467575"/>
    <w:rsid w:val="00477984"/>
    <w:rsid w:val="0048236F"/>
    <w:rsid w:val="00484B89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6F1B"/>
    <w:rsid w:val="005C0AE5"/>
    <w:rsid w:val="005D2D33"/>
    <w:rsid w:val="005E064B"/>
    <w:rsid w:val="005E4183"/>
    <w:rsid w:val="005E7A87"/>
    <w:rsid w:val="005F094F"/>
    <w:rsid w:val="005F3CA4"/>
    <w:rsid w:val="005F4061"/>
    <w:rsid w:val="00600128"/>
    <w:rsid w:val="00614071"/>
    <w:rsid w:val="00626974"/>
    <w:rsid w:val="0063659F"/>
    <w:rsid w:val="00663C6D"/>
    <w:rsid w:val="00690FB2"/>
    <w:rsid w:val="00691BE6"/>
    <w:rsid w:val="0069742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0730"/>
    <w:rsid w:val="00761D70"/>
    <w:rsid w:val="00766C93"/>
    <w:rsid w:val="007711E7"/>
    <w:rsid w:val="007726AF"/>
    <w:rsid w:val="00777EB2"/>
    <w:rsid w:val="00781271"/>
    <w:rsid w:val="007951BD"/>
    <w:rsid w:val="007D087D"/>
    <w:rsid w:val="007D4229"/>
    <w:rsid w:val="007F423A"/>
    <w:rsid w:val="00800FEC"/>
    <w:rsid w:val="008160CA"/>
    <w:rsid w:val="0081782F"/>
    <w:rsid w:val="0082235B"/>
    <w:rsid w:val="008223CF"/>
    <w:rsid w:val="00827EF5"/>
    <w:rsid w:val="00830C96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79C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53AA"/>
    <w:rsid w:val="00D17DB8"/>
    <w:rsid w:val="00D20A67"/>
    <w:rsid w:val="00D250F9"/>
    <w:rsid w:val="00D26A49"/>
    <w:rsid w:val="00D320E5"/>
    <w:rsid w:val="00D344A6"/>
    <w:rsid w:val="00D5293B"/>
    <w:rsid w:val="00D52FC4"/>
    <w:rsid w:val="00D63CCB"/>
    <w:rsid w:val="00D819EC"/>
    <w:rsid w:val="00D8544F"/>
    <w:rsid w:val="00D9652F"/>
    <w:rsid w:val="00DC375C"/>
    <w:rsid w:val="00DC518A"/>
    <w:rsid w:val="00DC7821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B3265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3DF6"/>
    <w:rsid w:val="00F9203E"/>
    <w:rsid w:val="00FA15BD"/>
    <w:rsid w:val="00FA3D1C"/>
    <w:rsid w:val="00FA6D81"/>
    <w:rsid w:val="00FA70C1"/>
    <w:rsid w:val="00FB319D"/>
    <w:rsid w:val="00FB52B2"/>
    <w:rsid w:val="00FB5EC2"/>
    <w:rsid w:val="00FB6C7B"/>
    <w:rsid w:val="00FC048A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l3">
    <w:name w:val="l3"/>
    <w:basedOn w:val="Normln"/>
    <w:rsid w:val="00697426"/>
    <w:pPr>
      <w:spacing w:before="100" w:beforeAutospacing="1" w:after="100" w:afterAutospacing="1"/>
    </w:pPr>
  </w:style>
  <w:style w:type="paragraph" w:customStyle="1" w:styleId="l4">
    <w:name w:val="l4"/>
    <w:basedOn w:val="Normln"/>
    <w:rsid w:val="00697426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6974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E73F-FE15-443E-9E01-2231382B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Zdeňka Charvátová</cp:lastModifiedBy>
  <cp:revision>2</cp:revision>
  <cp:lastPrinted>2023-10-18T13:14:00Z</cp:lastPrinted>
  <dcterms:created xsi:type="dcterms:W3CDTF">2023-12-14T11:06:00Z</dcterms:created>
  <dcterms:modified xsi:type="dcterms:W3CDTF">2023-12-14T11:06:00Z</dcterms:modified>
</cp:coreProperties>
</file>