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8F5" w:rsidRPr="00956BAC" w:rsidRDefault="007458F5" w:rsidP="007458F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956BAC" w:rsidRPr="00956BAC">
        <w:rPr>
          <w:rFonts w:ascii="Arial" w:hAnsi="Arial" w:cs="Arial"/>
          <w:b/>
          <w:sz w:val="24"/>
          <w:szCs w:val="24"/>
        </w:rPr>
        <w:t>Černíny</w:t>
      </w:r>
    </w:p>
    <w:p w:rsidR="007458F5" w:rsidRPr="00956BAC" w:rsidRDefault="007458F5" w:rsidP="007458F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956BAC" w:rsidRPr="00956BAC">
        <w:rPr>
          <w:rFonts w:ascii="Arial" w:hAnsi="Arial" w:cs="Arial"/>
          <w:b/>
          <w:sz w:val="24"/>
          <w:szCs w:val="24"/>
        </w:rPr>
        <w:t>Černíny</w:t>
      </w:r>
    </w:p>
    <w:p w:rsidR="007458F5" w:rsidRDefault="007458F5" w:rsidP="007458F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7458F5" w:rsidRDefault="007458F5" w:rsidP="007458F5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956BAC" w:rsidRPr="00956BAC">
        <w:rPr>
          <w:rFonts w:ascii="Arial" w:hAnsi="Arial" w:cs="Arial"/>
          <w:b/>
          <w:sz w:val="24"/>
          <w:szCs w:val="24"/>
        </w:rPr>
        <w:t>Černíny</w:t>
      </w:r>
    </w:p>
    <w:p w:rsidR="007458F5" w:rsidRDefault="007458F5" w:rsidP="007458F5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 místního koeficientu pro obec</w:t>
      </w:r>
    </w:p>
    <w:p w:rsidR="007458F5" w:rsidRDefault="007458F5" w:rsidP="007458F5">
      <w:pPr>
        <w:spacing w:line="276" w:lineRule="auto"/>
        <w:jc w:val="center"/>
        <w:rPr>
          <w:rFonts w:ascii="Arial" w:hAnsi="Arial" w:cs="Arial"/>
        </w:rPr>
      </w:pPr>
    </w:p>
    <w:p w:rsidR="007458F5" w:rsidRDefault="007458F5" w:rsidP="007458F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Zastupitelstvo obce </w:t>
      </w:r>
      <w:r w:rsidR="00956BAC" w:rsidRPr="00956BAC">
        <w:rPr>
          <w:rFonts w:ascii="Arial" w:hAnsi="Arial" w:cs="Arial"/>
        </w:rPr>
        <w:t>Černíny</w:t>
      </w:r>
      <w:r>
        <w:rPr>
          <w:rFonts w:ascii="Arial" w:hAnsi="Arial" w:cs="Arial"/>
        </w:rPr>
        <w:t xml:space="preserve"> se na svém zasedání dne </w:t>
      </w:r>
      <w:r w:rsidR="00956BAC">
        <w:rPr>
          <w:rFonts w:ascii="Arial" w:hAnsi="Arial" w:cs="Arial"/>
        </w:rPr>
        <w:t>12.</w:t>
      </w:r>
      <w:r w:rsidR="00FC26EE">
        <w:rPr>
          <w:rFonts w:ascii="Arial" w:hAnsi="Arial" w:cs="Arial"/>
        </w:rPr>
        <w:t xml:space="preserve"> </w:t>
      </w:r>
      <w:r w:rsidR="00956BAC">
        <w:rPr>
          <w:rFonts w:ascii="Arial" w:hAnsi="Arial" w:cs="Arial"/>
        </w:rPr>
        <w:t>9.</w:t>
      </w:r>
      <w:r w:rsidR="00FC26EE">
        <w:rPr>
          <w:rFonts w:ascii="Arial" w:hAnsi="Arial" w:cs="Arial"/>
        </w:rPr>
        <w:t xml:space="preserve"> </w:t>
      </w:r>
      <w:r w:rsidR="00956BAC">
        <w:rPr>
          <w:rFonts w:ascii="Arial" w:hAnsi="Arial" w:cs="Arial"/>
        </w:rPr>
        <w:t>2024</w:t>
      </w:r>
      <w:r>
        <w:rPr>
          <w:rFonts w:ascii="Arial" w:hAnsi="Arial" w:cs="Arial"/>
        </w:rPr>
        <w:t xml:space="preserve"> usneslo vydat na základě § 12 odst. 1 písm. a) bod 1 zákona č. 338/1992 Sb., o dani z nemovitých věcí, ve 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 xml:space="preserve">, a v souladu s § 10 písm. d) </w:t>
      </w:r>
      <w:bookmarkEnd w:id="0"/>
      <w:r>
        <w:rPr>
          <w:rFonts w:ascii="Arial" w:hAnsi="Arial" w:cs="Arial"/>
        </w:rPr>
        <w:t>a § 84 odst. 2 písm. h) zákona č. 128/2000 Sb., o obcích (obecní zřízení), ve znění pozdějších předpisů, tuto obecně závaznou vyhlášku (dále jen „vyhláška“):</w:t>
      </w:r>
    </w:p>
    <w:p w:rsidR="007458F5" w:rsidRDefault="007458F5" w:rsidP="007458F5">
      <w:pPr>
        <w:spacing w:line="276" w:lineRule="auto"/>
        <w:rPr>
          <w:rFonts w:ascii="Arial" w:hAnsi="Arial" w:cs="Arial"/>
        </w:rPr>
      </w:pPr>
    </w:p>
    <w:p w:rsidR="00FC26EE" w:rsidRDefault="00FC26EE" w:rsidP="007458F5">
      <w:pPr>
        <w:spacing w:line="276" w:lineRule="auto"/>
        <w:rPr>
          <w:rFonts w:ascii="Arial" w:hAnsi="Arial" w:cs="Arial"/>
        </w:rPr>
      </w:pPr>
    </w:p>
    <w:p w:rsidR="007458F5" w:rsidRDefault="007458F5" w:rsidP="007458F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1</w:t>
      </w:r>
    </w:p>
    <w:p w:rsidR="007458F5" w:rsidRDefault="007458F5" w:rsidP="007458F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obec</w:t>
      </w:r>
    </w:p>
    <w:p w:rsidR="007458F5" w:rsidRDefault="007458F5" w:rsidP="007458F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Obec </w:t>
      </w:r>
      <w:r w:rsidR="00956BAC" w:rsidRPr="00956BAC">
        <w:rPr>
          <w:rFonts w:ascii="Arial" w:hAnsi="Arial" w:cs="Arial"/>
        </w:rPr>
        <w:t>Černíny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 xml:space="preserve">stanovuje místní koeficient pro obec ve výši </w:t>
      </w:r>
      <w:r w:rsidR="00956BAC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7458F5" w:rsidRDefault="007458F5" w:rsidP="007458F5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Místní koeficient pro obec se vztahuje na všechny nemovité věci na území celé obce </w:t>
      </w:r>
      <w:r w:rsidR="00956BAC" w:rsidRPr="00956BAC">
        <w:rPr>
          <w:rFonts w:ascii="Arial" w:hAnsi="Arial" w:cs="Arial"/>
        </w:rPr>
        <w:t>Černíny</w:t>
      </w:r>
      <w:r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 výjimkou pozemků zařazených do skupiny vybraných zemědělských pozemků, trvalých travních porostů nebo nevyužitelných ostatních ploch</w:t>
      </w:r>
      <w:r w:rsidR="00FC26EE">
        <w:rPr>
          <w:rFonts w:ascii="Arial" w:hAnsi="Arial" w:cs="Arial"/>
        </w:rPr>
        <w:t>.</w:t>
      </w:r>
    </w:p>
    <w:p w:rsidR="007458F5" w:rsidRDefault="007458F5" w:rsidP="007458F5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:rsidR="00FC26EE" w:rsidRDefault="00FC26EE" w:rsidP="007458F5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:rsidR="007458F5" w:rsidRDefault="007458F5" w:rsidP="007458F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7458F5" w:rsidRDefault="00FC26EE" w:rsidP="00FC26EE">
      <w:pPr>
        <w:keepNext/>
        <w:spacing w:line="276" w:lineRule="auto"/>
        <w:jc w:val="left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</w:rPr>
        <w:t xml:space="preserve">                                                                  </w:t>
      </w:r>
      <w:r w:rsidR="007458F5">
        <w:rPr>
          <w:rFonts w:ascii="Arial" w:hAnsi="Arial" w:cs="Arial"/>
          <w:b/>
        </w:rPr>
        <w:t>Účinnost</w:t>
      </w:r>
    </w:p>
    <w:p w:rsidR="007458F5" w:rsidRDefault="007458F5" w:rsidP="007458F5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vyhláška n</w:t>
      </w:r>
      <w:r w:rsidR="00956BAC">
        <w:rPr>
          <w:rFonts w:ascii="Arial" w:hAnsi="Arial" w:cs="Arial"/>
        </w:rPr>
        <w:t>abývá účinnosti dnem 1. ledna 2025</w:t>
      </w:r>
    </w:p>
    <w:p w:rsidR="007458F5" w:rsidRDefault="007458F5" w:rsidP="007458F5">
      <w:pPr>
        <w:spacing w:after="360" w:line="276" w:lineRule="auto"/>
        <w:ind w:firstLine="709"/>
        <w:rPr>
          <w:rFonts w:ascii="Arial" w:hAnsi="Arial" w:cs="Arial"/>
        </w:rPr>
      </w:pPr>
    </w:p>
    <w:p w:rsidR="007458F5" w:rsidRDefault="007458F5" w:rsidP="007458F5">
      <w:pPr>
        <w:spacing w:after="0" w:line="276" w:lineRule="auto"/>
        <w:jc w:val="left"/>
        <w:rPr>
          <w:rFonts w:ascii="Arial" w:hAnsi="Arial" w:cs="Arial"/>
        </w:rPr>
      </w:pPr>
    </w:p>
    <w:p w:rsidR="00FC26EE" w:rsidRDefault="00FC26EE" w:rsidP="007458F5">
      <w:pPr>
        <w:spacing w:after="0" w:line="276" w:lineRule="auto"/>
        <w:jc w:val="left"/>
        <w:rPr>
          <w:rFonts w:ascii="Arial" w:hAnsi="Arial" w:cs="Arial"/>
        </w:rPr>
      </w:pPr>
    </w:p>
    <w:p w:rsidR="00FC26EE" w:rsidRDefault="00FC26EE" w:rsidP="007458F5">
      <w:pPr>
        <w:spacing w:after="0" w:line="276" w:lineRule="auto"/>
        <w:jc w:val="left"/>
        <w:rPr>
          <w:rFonts w:ascii="Arial" w:hAnsi="Arial" w:cs="Arial"/>
        </w:rPr>
      </w:pPr>
    </w:p>
    <w:p w:rsidR="00FC26EE" w:rsidRDefault="00FC26EE" w:rsidP="007458F5">
      <w:pPr>
        <w:spacing w:after="0" w:line="276" w:lineRule="auto"/>
        <w:jc w:val="left"/>
        <w:rPr>
          <w:rFonts w:ascii="Arial" w:hAnsi="Arial" w:cs="Arial"/>
        </w:rPr>
      </w:pPr>
    </w:p>
    <w:p w:rsidR="00FC26EE" w:rsidRDefault="00FC26EE" w:rsidP="007458F5">
      <w:pPr>
        <w:spacing w:after="0" w:line="276" w:lineRule="auto"/>
        <w:jc w:val="left"/>
        <w:rPr>
          <w:rFonts w:ascii="Arial" w:hAnsi="Arial" w:cs="Arial"/>
        </w:rPr>
        <w:sectPr w:rsidR="00FC26EE"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</w:sectPr>
      </w:pPr>
    </w:p>
    <w:p w:rsidR="007458F5" w:rsidRDefault="007458F5" w:rsidP="007458F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</w:t>
      </w:r>
    </w:p>
    <w:p w:rsidR="007458F5" w:rsidRDefault="00956BAC" w:rsidP="007458F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Miroslav Kyzour</w:t>
      </w:r>
      <w:r w:rsidR="00FC26EE">
        <w:rPr>
          <w:rFonts w:ascii="Arial" w:hAnsi="Arial" w:cs="Arial"/>
        </w:rPr>
        <w:t xml:space="preserve"> v.r.</w:t>
      </w:r>
    </w:p>
    <w:p w:rsidR="007458F5" w:rsidRDefault="007458F5" w:rsidP="007458F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starosta</w:t>
      </w:r>
      <w:r>
        <w:rPr>
          <w:rFonts w:ascii="Arial" w:hAnsi="Arial" w:cs="Arial"/>
        </w:rPr>
        <w:br w:type="column"/>
      </w:r>
      <w:r>
        <w:rPr>
          <w:rFonts w:ascii="Arial" w:hAnsi="Arial" w:cs="Arial"/>
        </w:rPr>
        <w:t>………………………………</w:t>
      </w:r>
    </w:p>
    <w:p w:rsidR="007458F5" w:rsidRDefault="00956BAC" w:rsidP="007458F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Petra Větrovská</w:t>
      </w:r>
      <w:r w:rsidR="00FC26EE">
        <w:rPr>
          <w:rFonts w:ascii="Arial" w:hAnsi="Arial" w:cs="Arial"/>
        </w:rPr>
        <w:t xml:space="preserve"> v.r.</w:t>
      </w:r>
    </w:p>
    <w:p w:rsidR="007458F5" w:rsidRDefault="007458F5" w:rsidP="007458F5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místostarost</w:t>
      </w:r>
      <w:r w:rsidR="00956BAC">
        <w:rPr>
          <w:rFonts w:ascii="Arial" w:hAnsi="Arial" w:cs="Arial"/>
        </w:rPr>
        <w:t>k</w:t>
      </w:r>
      <w:r>
        <w:rPr>
          <w:rFonts w:ascii="Arial" w:hAnsi="Arial" w:cs="Arial"/>
        </w:rPr>
        <w:t>a</w:t>
      </w:r>
    </w:p>
    <w:p w:rsidR="007458F5" w:rsidRDefault="007458F5" w:rsidP="007458F5">
      <w:pPr>
        <w:spacing w:after="0" w:line="276" w:lineRule="auto"/>
        <w:jc w:val="left"/>
        <w:rPr>
          <w:rFonts w:ascii="Arial" w:hAnsi="Arial" w:cs="Arial"/>
        </w:rPr>
      </w:pPr>
    </w:p>
    <w:p w:rsidR="00FC26EE" w:rsidRDefault="00FC26EE" w:rsidP="007458F5">
      <w:pPr>
        <w:spacing w:after="0" w:line="276" w:lineRule="auto"/>
        <w:jc w:val="left"/>
        <w:rPr>
          <w:rFonts w:ascii="Arial" w:hAnsi="Arial" w:cs="Arial"/>
        </w:rPr>
      </w:pPr>
    </w:p>
    <w:p w:rsidR="00FC26EE" w:rsidRDefault="00FC26EE" w:rsidP="007458F5">
      <w:pPr>
        <w:spacing w:after="0" w:line="276" w:lineRule="auto"/>
        <w:jc w:val="left"/>
        <w:rPr>
          <w:rFonts w:ascii="Arial" w:hAnsi="Arial" w:cs="Arial"/>
        </w:rPr>
      </w:pPr>
    </w:p>
    <w:p w:rsidR="00FC26EE" w:rsidRDefault="00FC26EE" w:rsidP="007458F5">
      <w:pPr>
        <w:spacing w:after="0" w:line="276" w:lineRule="auto"/>
        <w:jc w:val="left"/>
        <w:rPr>
          <w:rFonts w:ascii="Arial" w:hAnsi="Arial" w:cs="Arial"/>
        </w:rPr>
      </w:pPr>
    </w:p>
    <w:p w:rsidR="00FC26EE" w:rsidRDefault="00FC26EE" w:rsidP="007458F5">
      <w:pPr>
        <w:spacing w:after="0" w:line="276" w:lineRule="auto"/>
        <w:jc w:val="left"/>
        <w:rPr>
          <w:rFonts w:ascii="Arial" w:hAnsi="Arial" w:cs="Arial"/>
        </w:rPr>
      </w:pPr>
    </w:p>
    <w:p w:rsidR="00FC26EE" w:rsidRDefault="00FC26EE" w:rsidP="007458F5">
      <w:pPr>
        <w:spacing w:after="0" w:line="276" w:lineRule="auto"/>
        <w:jc w:val="left"/>
        <w:rPr>
          <w:rFonts w:ascii="Arial" w:hAnsi="Arial" w:cs="Arial"/>
        </w:rPr>
      </w:pPr>
    </w:p>
    <w:p w:rsidR="00FC26EE" w:rsidRDefault="00FC26EE" w:rsidP="007458F5">
      <w:pPr>
        <w:spacing w:after="0" w:line="276" w:lineRule="auto"/>
        <w:jc w:val="left"/>
        <w:rPr>
          <w:rFonts w:ascii="Arial" w:hAnsi="Arial" w:cs="Arial"/>
        </w:rPr>
        <w:sectPr w:rsidR="00FC26EE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:rsidR="00FC26EE" w:rsidRDefault="00FC26EE" w:rsidP="00047493">
      <w:bookmarkStart w:id="1" w:name="_GoBack"/>
      <w:bookmarkEnd w:id="1"/>
    </w:p>
    <w:sectPr w:rsidR="00FC26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5B66" w:rsidRDefault="00B25B66" w:rsidP="007458F5">
      <w:pPr>
        <w:spacing w:after="0"/>
      </w:pPr>
      <w:r>
        <w:separator/>
      </w:r>
    </w:p>
  </w:endnote>
  <w:endnote w:type="continuationSeparator" w:id="0">
    <w:p w:rsidR="00B25B66" w:rsidRDefault="00B25B66" w:rsidP="007458F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5B66" w:rsidRDefault="00B25B66" w:rsidP="007458F5">
      <w:pPr>
        <w:spacing w:after="0"/>
      </w:pPr>
      <w:r>
        <w:separator/>
      </w:r>
    </w:p>
  </w:footnote>
  <w:footnote w:type="continuationSeparator" w:id="0">
    <w:p w:rsidR="00B25B66" w:rsidRDefault="00B25B66" w:rsidP="007458F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005164"/>
    <w:multiLevelType w:val="hybridMultilevel"/>
    <w:tmpl w:val="CDC0F364"/>
    <w:lvl w:ilvl="0" w:tplc="0F56CAF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8F5"/>
    <w:rsid w:val="00047493"/>
    <w:rsid w:val="007458F5"/>
    <w:rsid w:val="008E3EC8"/>
    <w:rsid w:val="00956BAC"/>
    <w:rsid w:val="00A44C98"/>
    <w:rsid w:val="00B25B66"/>
    <w:rsid w:val="00C148C1"/>
    <w:rsid w:val="00FC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E2124A-92A1-44ED-B83F-6CF22613A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58F5"/>
    <w:pPr>
      <w:spacing w:after="120" w:line="240" w:lineRule="auto"/>
      <w:jc w:val="both"/>
    </w:p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58F5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rsid w:val="007458F5"/>
    <w:rPr>
      <w:rFonts w:ascii="Arial" w:eastAsiaTheme="majorEastAsia" w:hAnsi="Arial" w:cstheme="majorBidi"/>
      <w:b/>
      <w:i/>
      <w:color w:val="FF0000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458F5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458F5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7458F5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7458F5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26E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26E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FC26EE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C26EE"/>
  </w:style>
  <w:style w:type="paragraph" w:styleId="Zpat">
    <w:name w:val="footer"/>
    <w:basedOn w:val="Normln"/>
    <w:link w:val="ZpatChar"/>
    <w:uiPriority w:val="99"/>
    <w:unhideWhenUsed/>
    <w:rsid w:val="00FC26EE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C26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1293</TotalTime>
  <Pages>1</Pages>
  <Words>161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</cp:revision>
  <cp:lastPrinted>2024-09-13T08:42:00Z</cp:lastPrinted>
  <dcterms:created xsi:type="dcterms:W3CDTF">2024-09-10T12:03:00Z</dcterms:created>
  <dcterms:modified xsi:type="dcterms:W3CDTF">2024-09-13T08:46:00Z</dcterms:modified>
</cp:coreProperties>
</file>