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83" w:after="63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object w:dxaOrig="750" w:dyaOrig="764">
          <v:rect xmlns:o="urn:schemas-microsoft-com:office:office" xmlns:v="urn:schemas-microsoft-com:vml" id="rectole0000000000" style="width:37.500000pt;height:38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_</w:t>
      </w:r>
    </w:p>
    <w:p>
      <w:pPr>
        <w:spacing w:before="69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 Horní Lapa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</w:t>
        <w:br/>
        <w:t xml:space="preserve">Zastupitelstvo obce Horn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Lapa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</w:t>
      </w:r>
    </w:p>
    <w:p>
      <w:pPr>
        <w:spacing w:before="69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obce Horn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Lapa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</w:t>
        <w:br/>
        <w:t xml:space="preserve">o m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ístním poplatku ze ps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ů</w:t>
      </w:r>
    </w:p>
    <w:p>
      <w:pPr>
        <w:spacing w:before="62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Zastupitelstvo obce Horní Lapa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se na sv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zasedání dne 16. prosince 2024 usneslo vydat na základ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§ 14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565/1990 Sb.,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ístních poplatcích,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ákon o místních poplatcích“), a v souladu s § 10 písm. d) a § 84 odst. 2 písm. h)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128/2000 Sb., o obc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(obecní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ízení),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ředpisů, tuto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ávaznou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šku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vyhl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ška“):</w:t>
      </w:r>
    </w:p>
    <w:p>
      <w:pPr>
        <w:spacing w:before="36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1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Úvodní ustanovení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 Horní Lapa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touto vyhl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škou zav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ádí místní poplatek ze ps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Poplatkovým obdobím poplatku je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rok.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Správcem poplatku je obecní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řad.</w:t>
      </w:r>
    </w:p>
    <w:p>
      <w:pPr>
        <w:spacing w:before="36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2</w:t>
        <w:br/>
        <w:t xml:space="preserve">Předmět poplatku a poplatn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ík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ze ps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plat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dr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žitel psa. Držitelem je pro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čely tohoto poplatku osoba,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je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nebo má sídlo na území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Česk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republiky (dále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ík“); poplatek ze ps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plat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poplatník obci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podle svého místa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nebo sídla.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ze ps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se plat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ze ps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starš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3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ů.</w:t>
      </w:r>
    </w:p>
    <w:p>
      <w:pPr>
        <w:spacing w:before="36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3</w:t>
        <w:br/>
        <w:t xml:space="preserve">Ohlašovac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povinnost</w:t>
      </w:r>
    </w:p>
    <w:p>
      <w:pPr>
        <w:numPr>
          <w:ilvl w:val="0"/>
          <w:numId w:val="9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Poplatník je povinen podat správci poplatku 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 15 dnů ode dne, kdy se pes stal starš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3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ů, nebo ode dne, kdy nabyl psa starš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3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ů;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údaje uvád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v 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upravuje zákon.</w:t>
      </w:r>
    </w:p>
    <w:p>
      <w:pPr>
        <w:numPr>
          <w:ilvl w:val="0"/>
          <w:numId w:val="9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Dojde-li ke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v 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je poplatník povinen tuto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ěnu ozn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ámit do 15 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ode dne, kdy nastala.</w:t>
      </w:r>
    </w:p>
    <w:p>
      <w:pPr>
        <w:spacing w:before="36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4</w:t>
        <w:br/>
        <w:t xml:space="preserve">Sazba poplatku</w:t>
      </w:r>
    </w:p>
    <w:p>
      <w:pPr>
        <w:numPr>
          <w:ilvl w:val="0"/>
          <w:numId w:val="11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Sazba poplatku za 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rok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í:</w:t>
      </w:r>
    </w:p>
    <w:p>
      <w:pPr>
        <w:numPr>
          <w:ilvl w:val="0"/>
          <w:numId w:val="11"/>
        </w:num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jednoho psa 200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č,</w:t>
      </w:r>
    </w:p>
    <w:p>
      <w:pPr>
        <w:numPr>
          <w:ilvl w:val="0"/>
          <w:numId w:val="11"/>
        </w:num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druhého a 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dal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psa tého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držitele 200 Kč,</w:t>
      </w:r>
    </w:p>
    <w:p>
      <w:pPr>
        <w:numPr>
          <w:ilvl w:val="0"/>
          <w:numId w:val="11"/>
        </w:num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psa, jeho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držitelem je osoba starš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65 let, 200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č,</w:t>
      </w:r>
    </w:p>
    <w:p>
      <w:pPr>
        <w:numPr>
          <w:ilvl w:val="0"/>
          <w:numId w:val="11"/>
        </w:num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 druhého a 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dal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psa tého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držitele,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ým je osoba star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65 let, 200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</w:t>
      </w:r>
    </w:p>
    <w:p>
      <w:pPr>
        <w:spacing w:before="0" w:after="0" w:line="240"/>
        <w:ind w:right="0" w:left="96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 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trv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poplatkové povinnosti po dobu krat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jeden rok se plat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poplatek v pom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ěrn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vý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ši,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odpovídá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čtu i započat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ů.</w:t>
      </w:r>
    </w:p>
    <w:p>
      <w:pPr>
        <w:spacing w:before="36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5</w:t>
        <w:br/>
        <w:t xml:space="preserve">Splatnost poplatku</w:t>
      </w:r>
    </w:p>
    <w:p>
      <w:pPr>
        <w:numPr>
          <w:ilvl w:val="0"/>
          <w:numId w:val="16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je splatný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 31. března př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roku.</w:t>
      </w:r>
    </w:p>
    <w:p>
      <w:pPr>
        <w:numPr>
          <w:ilvl w:val="0"/>
          <w:numId w:val="16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Vznikne-li poplatková povinnost po datu splatnosti uvedeném v odstavci 1, je poplatek splatný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 patn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áctého dne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íce, který následuje po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íci, ve kterém poplatková povinnost vznikla.</w:t>
      </w:r>
    </w:p>
    <w:p>
      <w:pPr>
        <w:numPr>
          <w:ilvl w:val="0"/>
          <w:numId w:val="16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ůta splatnosti neskonč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poplatníkovi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íve ne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lhůta pro pod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podle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 3 odst. 1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šky.</w:t>
      </w:r>
    </w:p>
    <w:p>
      <w:pPr>
        <w:spacing w:before="36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6</w:t>
        <w:br/>
        <w:t xml:space="preserve"> Osvobozen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</w:t>
      </w:r>
    </w:p>
    <w:p>
      <w:pPr>
        <w:numPr>
          <w:ilvl w:val="0"/>
          <w:numId w:val="18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Od poplatku ze ps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je osvobozen držitel psa,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ým je osoba nevidomá, osoba, která je pova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ána za závislou na pomoci jiné fyzické osoby podle zákona upravujícího sociální slu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žby, osoba,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je dr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žitelem průkazu ZTP nebo ZTP/P, osoba prov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výcvik ps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určen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k doprovodu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ěchto osob, osoba provozuj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útulek pro zví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řata nebo osoba,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stanoví povinnost dr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a pou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ívání psa zvlá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právní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ředpis.</w:t>
      </w:r>
    </w:p>
    <w:p>
      <w:pPr>
        <w:numPr>
          <w:ilvl w:val="0"/>
          <w:numId w:val="18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 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že poplatn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 nesplní povinnost ohlásit údaj rozhodný pro osvobození ve lh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ách stanovených touto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škou nebo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ákonem, nárok na osvobození zaniká.</w:t>
      </w:r>
    </w:p>
    <w:p>
      <w:pPr>
        <w:spacing w:before="36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7</w:t>
        <w:br/>
        <w:t xml:space="preserve"> Přechodn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é a zru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šovac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ustanovení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Poplatkové povinnosti vzniklé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 nabyt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šky se posuzuj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podle dosavadních právních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ředpisů.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Zru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šuje se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obce Horn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Lapa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č. 2/2023, o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ístním poplatku ze ps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ů, ze dne 6. prosince 2023.</w:t>
      </w:r>
    </w:p>
    <w:p>
      <w:pPr>
        <w:spacing w:before="36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8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činnost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nab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ývá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dnem 1. ledna 2025.</w:t>
      </w:r>
    </w:p>
    <w:tbl>
      <w:tblPr/>
      <w:tblGrid>
        <w:gridCol w:w="4850"/>
        <w:gridCol w:w="4851"/>
      </w:tblGrid>
      <w:tr>
        <w:trPr>
          <w:trHeight w:val="1757" w:hRule="auto"/>
          <w:jc w:val="left"/>
        </w:trPr>
        <w:tc>
          <w:tcPr>
            <w:tcW w:w="48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Jaroslava Hude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čkov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á v. r.</w:t>
              <w:br/>
              <w:t xml:space="preserve">starostka</w:t>
            </w:r>
          </w:p>
        </w:tc>
        <w:tc>
          <w:tcPr>
            <w:tcW w:w="48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Miroslava Holubová v. r.</w:t>
              <w:br/>
              <w:t xml:space="preserve">místostarostka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5">
    <w:abstractNumId w:val="42"/>
  </w:num>
  <w:num w:numId="7">
    <w:abstractNumId w:val="36"/>
  </w:num>
  <w:num w:numId="9">
    <w:abstractNumId w:val="30"/>
  </w:num>
  <w:num w:numId="11">
    <w:abstractNumId w:val="24"/>
  </w:num>
  <w:num w:numId="14">
    <w:abstractNumId w:val="18"/>
  </w:num>
  <w:num w:numId="16">
    <w:abstractNumId w:val="12"/>
  </w:num>
  <w:num w:numId="18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