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jc w:val="center"/>
        <w:rPr>
          <w:rFonts w:ascii="Trebuchet MS" w:cs="Trebuchet MS" w:eastAsia="Trebuchet MS" w:hAnsi="Trebuchet MS"/>
          <w:b w:val="0"/>
          <w:sz w:val="42"/>
          <w:szCs w:val="42"/>
        </w:rPr>
      </w:pPr>
      <w:bookmarkStart w:colFirst="0" w:colLast="0" w:name="_h4okn980a8rm" w:id="0"/>
      <w:bookmarkEnd w:id="0"/>
      <w:r w:rsidDel="00000000" w:rsidR="00000000" w:rsidRPr="00000000">
        <w:rPr>
          <w:rFonts w:ascii="Trebuchet MS" w:cs="Trebuchet MS" w:eastAsia="Trebuchet MS" w:hAnsi="Trebuchet MS"/>
          <w:b w:val="0"/>
          <w:sz w:val="42"/>
          <w:szCs w:val="42"/>
          <w:rtl w:val="0"/>
        </w:rPr>
        <w:t xml:space="preserve">Obecně závazná vyhláška obce Tehov</w:t>
      </w:r>
    </w:p>
    <w:p w:rsidR="00000000" w:rsidDel="00000000" w:rsidP="00000000" w:rsidRDefault="00000000" w:rsidRPr="00000000" w14:paraId="00000002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jc w:val="center"/>
        <w:rPr>
          <w:rFonts w:ascii="Trebuchet MS" w:cs="Trebuchet MS" w:eastAsia="Trebuchet MS" w:hAnsi="Trebuchet MS"/>
          <w:b w:val="0"/>
          <w:sz w:val="42"/>
          <w:szCs w:val="42"/>
        </w:rPr>
      </w:pPr>
      <w:bookmarkStart w:colFirst="0" w:colLast="0" w:name="_hmvuest2vwwv" w:id="1"/>
      <w:bookmarkEnd w:id="1"/>
      <w:r w:rsidDel="00000000" w:rsidR="00000000" w:rsidRPr="00000000">
        <w:rPr>
          <w:rFonts w:ascii="Trebuchet MS" w:cs="Trebuchet MS" w:eastAsia="Trebuchet MS" w:hAnsi="Trebuchet MS"/>
          <w:b w:val="0"/>
          <w:sz w:val="42"/>
          <w:szCs w:val="42"/>
          <w:rtl w:val="0"/>
        </w:rPr>
        <w:t xml:space="preserve">č. 4/2014,</w:t>
      </w:r>
    </w:p>
    <w:p w:rsidR="00000000" w:rsidDel="00000000" w:rsidP="00000000" w:rsidRDefault="00000000" w:rsidRPr="00000000" w14:paraId="00000003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jc w:val="center"/>
        <w:rPr/>
      </w:pPr>
      <w:bookmarkStart w:colFirst="0" w:colLast="0" w:name="_h5cm7gx2w3hb" w:id="2"/>
      <w:bookmarkEnd w:id="2"/>
      <w:r w:rsidDel="00000000" w:rsidR="00000000" w:rsidRPr="00000000">
        <w:rPr>
          <w:rFonts w:ascii="Trebuchet MS" w:cs="Trebuchet MS" w:eastAsia="Trebuchet MS" w:hAnsi="Trebuchet MS"/>
          <w:b w:val="0"/>
          <w:sz w:val="32"/>
          <w:szCs w:val="32"/>
          <w:rtl w:val="0"/>
        </w:rPr>
        <w:t xml:space="preserve">jíž se zakazuje provozování sázkových her, loterií a jiných podobných her na území obce Tehov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vertAlign w:val="baseline"/>
          <w:rtl w:val="0"/>
        </w:rPr>
        <w:t xml:space="preserve">Zastupitelstvo obce Tehov přijalo na základě § 10 písm. a) a d) zákona č. 128/2000 Sb., o</w:t>
      </w: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vertAlign w:val="baseline"/>
          <w:rtl w:val="0"/>
        </w:rPr>
        <w:t xml:space="preserve">obcích (obecní zřízení), ve spojení s § 50 odst. 4 zákona č. 202/1990 Sb., o loteriích a jiných podobných hrách, ve znění pozdějších předpisů, tuto obecně závaznou vyhlášku (dále jen „vyhláška“):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00" w:lineRule="auto"/>
        <w:rPr/>
      </w:pPr>
      <w:bookmarkStart w:colFirst="0" w:colLast="0" w:name="_stlxjl7rz2t3" w:id="3"/>
      <w:bookmarkEnd w:id="3"/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Čl. 1</w:t>
        <w:br w:type="textWrapping"/>
      </w:r>
      <w:r w:rsidDel="00000000" w:rsidR="00000000" w:rsidRPr="00000000">
        <w:rPr>
          <w:rtl w:val="0"/>
        </w:rPr>
        <w:t xml:space="preserve">Účel vyhlášky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vertAlign w:val="baseline"/>
          <w:rtl w:val="0"/>
        </w:rPr>
        <w:t xml:space="preserve">Tato vyhláška se vydává za účelem zajištění veřejného pořádku na území obce Tehov.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kwm0c1krdu0q" w:id="4"/>
      <w:bookmarkEnd w:id="4"/>
      <w:r w:rsidDel="00000000" w:rsidR="00000000" w:rsidRPr="00000000">
        <w:rPr>
          <w:vertAlign w:val="baseline"/>
          <w:rtl w:val="0"/>
        </w:rPr>
        <w:t xml:space="preserve">Čl. 2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vertAlign w:val="baseline"/>
          <w:rtl w:val="0"/>
        </w:rPr>
        <w:t xml:space="preserve">Zákaz provozování loterijní činnosti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vertAlign w:val="baseline"/>
          <w:rtl w:val="0"/>
        </w:rPr>
        <w:t xml:space="preserve">Provozování loterijní činnosti, jíž se rozumí provozování sázkových her podle § 2 písm. e), g), i), l), m), a n) a loterií a jiných podobných her podle § 2 písm. j) a § 50 odst. 3 zákona č. 202/1990 </w:t>
      </w:r>
      <w:r w:rsidDel="00000000" w:rsidR="00000000" w:rsidRPr="00000000">
        <w:rPr>
          <w:rtl w:val="0"/>
        </w:rPr>
        <w:t xml:space="preserve">Sb., </w:t>
      </w:r>
      <w:r w:rsidDel="00000000" w:rsidR="00000000" w:rsidRPr="00000000">
        <w:rPr>
          <w:vertAlign w:val="baseline"/>
          <w:rtl w:val="0"/>
        </w:rPr>
        <w:t xml:space="preserve">o loteriích a jiných podobných hrách v</w:t>
      </w:r>
      <w:r w:rsidDel="00000000" w:rsidR="00000000" w:rsidRPr="00000000">
        <w:rPr>
          <w:rtl w:val="0"/>
        </w:rPr>
        <w:t xml:space="preserve"> platném znění</w:t>
      </w:r>
      <w:r w:rsidDel="00000000" w:rsidR="00000000" w:rsidRPr="00000000">
        <w:rPr>
          <w:vertAlign w:val="baseline"/>
          <w:rtl w:val="0"/>
        </w:rPr>
        <w:t xml:space="preserve">, se na území obce Tehov zakazuje.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cfct9qar8tsu" w:id="5"/>
      <w:bookmarkEnd w:id="5"/>
      <w:r w:rsidDel="00000000" w:rsidR="00000000" w:rsidRPr="00000000">
        <w:rPr>
          <w:vertAlign w:val="baseline"/>
          <w:rtl w:val="0"/>
        </w:rPr>
        <w:t xml:space="preserve">Čl. 3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vertAlign w:val="baseline"/>
          <w:rtl w:val="0"/>
        </w:rPr>
        <w:t xml:space="preserve">Zrušovací ustanovení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vertAlign w:val="baseline"/>
          <w:rtl w:val="0"/>
        </w:rPr>
        <w:t xml:space="preserve">Zrušuje se obecně závazná vyhláška č. 5/2010 o místním poplatku za provozovaný výherní hrací přístroj nebo jiné technické herní zařízení povolené Ministerstvem financí podle jiného právního předpisu ze dne 14.12.2010.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pr1yfljr16bx" w:id="6"/>
      <w:bookmarkEnd w:id="6"/>
      <w:r w:rsidDel="00000000" w:rsidR="00000000" w:rsidRPr="00000000">
        <w:rPr>
          <w:vertAlign w:val="baseline"/>
          <w:rtl w:val="0"/>
        </w:rPr>
        <w:t xml:space="preserve">Čl. </w:t>
      </w:r>
      <w:r w:rsidDel="00000000" w:rsidR="00000000" w:rsidRPr="00000000">
        <w:rPr>
          <w:rtl w:val="0"/>
        </w:rPr>
        <w:t xml:space="preserve">4</w:t>
        <w:br w:type="textWrapping"/>
      </w:r>
      <w:r w:rsidDel="00000000" w:rsidR="00000000" w:rsidRPr="00000000">
        <w:rPr>
          <w:vertAlign w:val="baseline"/>
          <w:rtl w:val="0"/>
        </w:rPr>
        <w:t xml:space="preserve">Účinnost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Tato obecně závazná vyhláška byla schválena na zasedání Zastupitelstva obce Tehov dne 22. 12. 2014  pod číslem usnesení 7/3/2014 a nabývá účinnosti 15. dnem od schválení.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V Tehově dne 22. 12. 2014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2160"/>
          <w:tab w:val="center" w:leader="none" w:pos="7200"/>
        </w:tabs>
        <w:ind w:firstLine="720"/>
        <w:rPr/>
      </w:pPr>
      <w:r w:rsidDel="00000000" w:rsidR="00000000" w:rsidRPr="00000000">
        <w:rPr>
          <w:rtl w:val="0"/>
        </w:rPr>
        <w:t xml:space="preserve">………………………………</w:t>
        <w:tab/>
        <w:t xml:space="preserve">………………………………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2160"/>
          <w:tab w:val="center" w:leader="none" w:pos="7200"/>
        </w:tabs>
        <w:rPr/>
      </w:pPr>
      <w:r w:rsidDel="00000000" w:rsidR="00000000" w:rsidRPr="00000000">
        <w:rPr>
          <w:rtl w:val="0"/>
        </w:rPr>
        <w:tab/>
        <w:t xml:space="preserve">RNDr. Kateřina Ruszová, Ph.D.</w:t>
        <w:tab/>
        <w:t xml:space="preserve">Ing. arch. David Hlouch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2160"/>
          <w:tab w:val="center" w:leader="none" w:pos="7200"/>
        </w:tabs>
        <w:rPr/>
      </w:pPr>
      <w:r w:rsidDel="00000000" w:rsidR="00000000" w:rsidRPr="00000000">
        <w:rPr>
          <w:rtl w:val="0"/>
        </w:rPr>
        <w:tab/>
        <w:t xml:space="preserve">místostarostka</w:t>
        <w:tab/>
        <w:t xml:space="preserve">starosta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Vyvěšeno na úřední desce obecního úřadu dne: 23. 12. 2014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Sejmuto z úřední desky obecního úřadu dne: 7. 1. 2015</w:t>
      </w: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17" w:top="1417" w:left="1417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/>
    </w:pPr>
    <w:r w:rsidDel="00000000" w:rsidR="00000000" w:rsidRPr="00000000">
      <w:rPr>
        <w:rtl w:val="0"/>
      </w:rPr>
      <w:t xml:space="preserve">Strana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102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00" w:before="200" w:line="240" w:lineRule="auto"/>
      <w:jc w:val="center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200" w:before="400" w:lineRule="auto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jc w:val="center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