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659207" w14:textId="77777777" w:rsidR="006C4422" w:rsidRPr="005E417A" w:rsidRDefault="006C4422" w:rsidP="006C4422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 xml:space="preserve">OBEC Loučná nad Desnou  </w:t>
      </w:r>
    </w:p>
    <w:p w14:paraId="6CA00090" w14:textId="77777777" w:rsidR="006C4422" w:rsidRPr="005E417A" w:rsidRDefault="006C4422" w:rsidP="006C4422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>- Zastupitelstvo obce Loučná nad Desnou</w:t>
      </w:r>
    </w:p>
    <w:p w14:paraId="5142956A" w14:textId="77777777" w:rsidR="006C4422" w:rsidRPr="005E417A" w:rsidRDefault="006C4422" w:rsidP="006C4422">
      <w:pPr>
        <w:spacing w:line="276" w:lineRule="auto"/>
        <w:jc w:val="center"/>
        <w:rPr>
          <w:rFonts w:ascii="Arial" w:hAnsi="Arial" w:cs="Arial"/>
          <w:b/>
        </w:rPr>
      </w:pPr>
    </w:p>
    <w:p w14:paraId="026ADC27" w14:textId="77777777" w:rsidR="006C4422" w:rsidRPr="005E417A" w:rsidRDefault="006C4422" w:rsidP="006C4422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 xml:space="preserve">Nařízení obce Loučná nad Desnou </w:t>
      </w:r>
    </w:p>
    <w:p w14:paraId="588C7312" w14:textId="77777777" w:rsidR="006C4422" w:rsidRPr="005E417A" w:rsidRDefault="006C4422" w:rsidP="006C4422">
      <w:pPr>
        <w:spacing w:line="276" w:lineRule="auto"/>
        <w:jc w:val="center"/>
        <w:rPr>
          <w:rFonts w:ascii="Arial" w:hAnsi="Arial" w:cs="Arial"/>
          <w:b/>
        </w:rPr>
      </w:pPr>
      <w:r w:rsidRPr="005E417A">
        <w:rPr>
          <w:rFonts w:ascii="Arial" w:hAnsi="Arial" w:cs="Arial"/>
          <w:b/>
        </w:rPr>
        <w:t>č. 2 /2020,</w:t>
      </w:r>
    </w:p>
    <w:p w14:paraId="1F276E82" w14:textId="77777777" w:rsidR="006C4422" w:rsidRPr="005E417A" w:rsidRDefault="006C4422" w:rsidP="006C4422">
      <w:pPr>
        <w:jc w:val="center"/>
        <w:rPr>
          <w:rFonts w:ascii="Arial" w:hAnsi="Arial" w:cs="Arial"/>
          <w:b/>
        </w:rPr>
      </w:pPr>
      <w:bookmarkStart w:id="0" w:name="_Hlk26951262"/>
      <w:r w:rsidRPr="005E417A">
        <w:rPr>
          <w:rFonts w:ascii="Arial" w:hAnsi="Arial" w:cs="Arial"/>
          <w:b/>
        </w:rPr>
        <w:t>o zákazu podomního a pochůzkového prodeje</w:t>
      </w:r>
    </w:p>
    <w:bookmarkEnd w:id="0"/>
    <w:p w14:paraId="46C72A19" w14:textId="77777777" w:rsidR="006C4422" w:rsidRPr="005E417A" w:rsidRDefault="006C4422" w:rsidP="006C44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58630A54" w14:textId="3181FB25" w:rsidR="006C4422" w:rsidRDefault="006C4422" w:rsidP="006C44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  <w:r w:rsidRPr="005E417A">
        <w:rPr>
          <w:rFonts w:ascii="Arial" w:hAnsi="Arial" w:cs="Arial"/>
          <w:b w:val="0"/>
          <w:sz w:val="22"/>
          <w:szCs w:val="22"/>
        </w:rPr>
        <w:t xml:space="preserve">Zastupitelstvo obce Loučná nad Desnou se na svém zasedání dne 30.9.2020 usnesením č. </w:t>
      </w:r>
      <w:r>
        <w:rPr>
          <w:rFonts w:ascii="Arial" w:hAnsi="Arial" w:cs="Arial"/>
          <w:b w:val="0"/>
          <w:sz w:val="22"/>
          <w:szCs w:val="22"/>
        </w:rPr>
        <w:t xml:space="preserve">522 </w:t>
      </w:r>
      <w:r w:rsidRPr="005E417A">
        <w:rPr>
          <w:rFonts w:ascii="Arial" w:hAnsi="Arial" w:cs="Arial"/>
          <w:b w:val="0"/>
          <w:sz w:val="22"/>
          <w:szCs w:val="22"/>
        </w:rPr>
        <w:t xml:space="preserve">usneslo vydat na základě § 18 odst. 4 zákona č. 455/1991 Sb., o živnostenském podnikání (živnostenský zákon), ve znění pozdějších předpisů, a v souladu s § 11 odst. </w:t>
      </w:r>
      <w:smartTag w:uri="urn:schemas-microsoft-com:office:smarttags" w:element="metricconverter">
        <w:smartTagPr>
          <w:attr w:name="ProductID" w:val="1 a"/>
        </w:smartTagPr>
        <w:r w:rsidRPr="005E417A">
          <w:rPr>
            <w:rFonts w:ascii="Arial" w:hAnsi="Arial" w:cs="Arial"/>
            <w:b w:val="0"/>
            <w:sz w:val="22"/>
            <w:szCs w:val="22"/>
          </w:rPr>
          <w:t>1 a</w:t>
        </w:r>
      </w:smartTag>
      <w:r w:rsidRPr="005E417A">
        <w:rPr>
          <w:rFonts w:ascii="Arial" w:hAnsi="Arial" w:cs="Arial"/>
          <w:b w:val="0"/>
          <w:sz w:val="22"/>
          <w:szCs w:val="22"/>
        </w:rPr>
        <w:t xml:space="preserve"> § 84 odst. 3 a § 102 odst. 4 zákona č. 128/2000 Sb., o obcích (obecní zřízení), ve znění pozdějších předpisů, toto nařízení:</w:t>
      </w:r>
    </w:p>
    <w:p w14:paraId="45388A4E" w14:textId="77777777" w:rsidR="006C4422" w:rsidRPr="006C4422" w:rsidRDefault="006C4422" w:rsidP="006C4422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751C4100" w14:textId="77777777" w:rsidR="006C4422" w:rsidRPr="006C4422" w:rsidRDefault="006C4422" w:rsidP="006C4422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6C4422">
        <w:rPr>
          <w:rFonts w:ascii="Arial" w:hAnsi="Arial" w:cs="Arial"/>
          <w:b/>
          <w:bCs/>
          <w:szCs w:val="20"/>
        </w:rPr>
        <w:t>Čl. 1</w:t>
      </w:r>
    </w:p>
    <w:p w14:paraId="57F69735" w14:textId="77777777" w:rsidR="006C4422" w:rsidRPr="006C4422" w:rsidRDefault="006C4422" w:rsidP="006C4422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6C4422">
        <w:rPr>
          <w:rFonts w:ascii="Arial" w:hAnsi="Arial" w:cs="Arial"/>
          <w:b/>
          <w:bCs/>
          <w:szCs w:val="20"/>
        </w:rPr>
        <w:t>Předmět právní úpravy</w:t>
      </w:r>
    </w:p>
    <w:p w14:paraId="2A13AFFC" w14:textId="77777777" w:rsidR="006C4422" w:rsidRPr="006C4422" w:rsidRDefault="006C4422" w:rsidP="006C4422">
      <w:pPr>
        <w:jc w:val="both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Účelem tohoto nařízení obce je stanovit, které formy prodeje zboží nebo poskytování služeb, prováděné mimo provozovnu, jsou na území obce Loučná nad Desnou zakázány.</w:t>
      </w:r>
    </w:p>
    <w:p w14:paraId="50532752" w14:textId="77777777" w:rsidR="006C4422" w:rsidRPr="006C4422" w:rsidRDefault="006C4422" w:rsidP="006C4422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</w:p>
    <w:p w14:paraId="2118474A" w14:textId="77777777" w:rsidR="006C4422" w:rsidRPr="006C4422" w:rsidRDefault="006C4422" w:rsidP="006C4422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6C4422">
        <w:rPr>
          <w:rFonts w:ascii="Arial" w:hAnsi="Arial" w:cs="Arial"/>
          <w:b/>
          <w:bCs/>
          <w:szCs w:val="20"/>
        </w:rPr>
        <w:t>Čl. 2</w:t>
      </w:r>
    </w:p>
    <w:p w14:paraId="3B7394D6" w14:textId="77777777" w:rsidR="006C4422" w:rsidRPr="006C4422" w:rsidRDefault="006C4422" w:rsidP="006C4422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6C4422">
        <w:rPr>
          <w:rFonts w:ascii="Arial" w:hAnsi="Arial" w:cs="Arial"/>
          <w:b/>
          <w:bCs/>
          <w:szCs w:val="20"/>
        </w:rPr>
        <w:t>Vymezení pojmů</w:t>
      </w:r>
    </w:p>
    <w:p w14:paraId="5C219CFF" w14:textId="77777777" w:rsidR="006C4422" w:rsidRPr="006C4422" w:rsidRDefault="006C4422" w:rsidP="006C4422">
      <w:pPr>
        <w:jc w:val="both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1) Podomním prodejem se pro účely tohoto nařízení rozumí všechny formy prodeje zboží a poskytování služeb bez předchozí objednávky, případně i pouhá nabídka zboží či služeb, které jsou provozovány obchůzkou jednotlivých objektů určených k bydlení, ubytování a rekreaci.</w:t>
      </w:r>
    </w:p>
    <w:p w14:paraId="1090D8E0" w14:textId="77777777" w:rsidR="006C4422" w:rsidRPr="006C4422" w:rsidRDefault="006C4422" w:rsidP="006C4422">
      <w:pPr>
        <w:spacing w:before="240"/>
        <w:jc w:val="both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2) Pochůzkovým prodejem se pro účely tohoto nařízení rozumí nabízení a prodej zboží nebo nabízení a poskytování služeb na veřejně přístupných místech s použitím přenosného nebo neseného zařízení (konstrukce, tyče, závěsného pultu, ze zavazadel, tašek a podobných zařízení) nebo přímo z ruky. Nerozhoduje, zda ten, kdo zboží nebo služby nabízí a prodává nebo nabízí a poskytuje, se přemísťuje nebo stojí na místě.</w:t>
      </w:r>
    </w:p>
    <w:p w14:paraId="1FDCD4FB" w14:textId="77777777" w:rsidR="006C4422" w:rsidRPr="006C4422" w:rsidRDefault="006C4422" w:rsidP="006C4422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</w:p>
    <w:p w14:paraId="75E35F39" w14:textId="77777777" w:rsidR="006C4422" w:rsidRPr="006C4422" w:rsidRDefault="006C4422" w:rsidP="006C4422">
      <w:pPr>
        <w:keepNext/>
        <w:keepLines/>
        <w:spacing w:before="480" w:after="60"/>
        <w:jc w:val="center"/>
        <w:rPr>
          <w:rFonts w:ascii="Arial" w:hAnsi="Arial" w:cs="Arial"/>
          <w:b/>
          <w:bCs/>
          <w:szCs w:val="20"/>
        </w:rPr>
      </w:pPr>
      <w:r w:rsidRPr="006C4422">
        <w:rPr>
          <w:rFonts w:ascii="Arial" w:hAnsi="Arial" w:cs="Arial"/>
          <w:b/>
          <w:bCs/>
          <w:szCs w:val="20"/>
        </w:rPr>
        <w:t>Čl. 3</w:t>
      </w:r>
    </w:p>
    <w:p w14:paraId="2EC8F6D5" w14:textId="77777777" w:rsidR="006C4422" w:rsidRPr="006C4422" w:rsidRDefault="006C4422" w:rsidP="006C4422">
      <w:pPr>
        <w:ind w:left="567"/>
        <w:jc w:val="center"/>
        <w:rPr>
          <w:rFonts w:ascii="Arial" w:hAnsi="Arial" w:cs="Arial"/>
          <w:b/>
          <w:bCs/>
        </w:rPr>
      </w:pPr>
      <w:r w:rsidRPr="006C4422">
        <w:rPr>
          <w:rFonts w:ascii="Arial" w:hAnsi="Arial" w:cs="Arial"/>
          <w:b/>
          <w:bCs/>
        </w:rPr>
        <w:t>Zakázané formy prodeje zboží a poskytování služeb</w:t>
      </w:r>
    </w:p>
    <w:p w14:paraId="6EB21D39" w14:textId="77777777" w:rsidR="006C4422" w:rsidRPr="006C4422" w:rsidRDefault="006C4422" w:rsidP="006C4422">
      <w:pPr>
        <w:rPr>
          <w:rFonts w:ascii="Arial" w:hAnsi="Arial" w:cs="Arial"/>
        </w:rPr>
      </w:pPr>
    </w:p>
    <w:p w14:paraId="4217F75D" w14:textId="77777777" w:rsidR="006C4422" w:rsidRPr="006C4422" w:rsidRDefault="006C4422" w:rsidP="006C4422">
      <w:pPr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Na území obce Loučná nad Desnou je zakázán podomní a pochůzkový prodej.</w:t>
      </w:r>
    </w:p>
    <w:p w14:paraId="2C7974BE" w14:textId="77777777" w:rsidR="006C4422" w:rsidRPr="006C4422" w:rsidRDefault="006C4422" w:rsidP="006C4422">
      <w:pPr>
        <w:ind w:left="567"/>
        <w:jc w:val="center"/>
        <w:rPr>
          <w:rFonts w:ascii="Arial" w:hAnsi="Arial" w:cs="Arial"/>
          <w:b/>
          <w:bCs/>
          <w:sz w:val="22"/>
          <w:szCs w:val="22"/>
        </w:rPr>
      </w:pPr>
    </w:p>
    <w:p w14:paraId="4A805B37" w14:textId="77777777" w:rsidR="006C4422" w:rsidRPr="006C4422" w:rsidRDefault="006C4422" w:rsidP="006C4422">
      <w:pPr>
        <w:ind w:left="567"/>
        <w:jc w:val="center"/>
        <w:rPr>
          <w:rFonts w:ascii="Arial" w:hAnsi="Arial" w:cs="Arial"/>
          <w:b/>
          <w:bCs/>
        </w:rPr>
      </w:pPr>
    </w:p>
    <w:p w14:paraId="39381DAE" w14:textId="77777777" w:rsidR="006C4422" w:rsidRPr="006C4422" w:rsidRDefault="006C4422" w:rsidP="006C4422">
      <w:pPr>
        <w:keepNext/>
        <w:keepLines/>
        <w:spacing w:before="480" w:after="60"/>
        <w:jc w:val="center"/>
        <w:rPr>
          <w:rFonts w:ascii="Arial" w:hAnsi="Arial" w:cs="Arial"/>
          <w:b/>
          <w:bCs/>
          <w:i/>
          <w:szCs w:val="20"/>
        </w:rPr>
      </w:pPr>
      <w:r w:rsidRPr="006C4422">
        <w:rPr>
          <w:rFonts w:ascii="Arial" w:hAnsi="Arial" w:cs="Arial"/>
          <w:b/>
          <w:bCs/>
          <w:szCs w:val="20"/>
        </w:rPr>
        <w:t>Čl. 4</w:t>
      </w:r>
    </w:p>
    <w:p w14:paraId="38D767BD" w14:textId="77777777" w:rsidR="006C4422" w:rsidRPr="006C4422" w:rsidRDefault="006C4422" w:rsidP="006C4422">
      <w:pPr>
        <w:keepNext/>
        <w:keepLines/>
        <w:spacing w:before="60" w:after="160"/>
        <w:jc w:val="center"/>
        <w:rPr>
          <w:rFonts w:ascii="Arial" w:hAnsi="Arial" w:cs="Arial"/>
          <w:b/>
          <w:bCs/>
          <w:szCs w:val="20"/>
        </w:rPr>
      </w:pPr>
      <w:r w:rsidRPr="006C4422">
        <w:rPr>
          <w:rFonts w:ascii="Arial" w:hAnsi="Arial" w:cs="Arial"/>
          <w:b/>
          <w:bCs/>
          <w:szCs w:val="20"/>
        </w:rPr>
        <w:t>Závěrečná ustanovení</w:t>
      </w:r>
    </w:p>
    <w:p w14:paraId="3AB39B19" w14:textId="77777777" w:rsidR="006C4422" w:rsidRPr="006C4422" w:rsidRDefault="006C4422" w:rsidP="006C4422">
      <w:pPr>
        <w:jc w:val="both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Na porušení povinností stanovených tímto nařízením se vztahují zvláštní právní předpisy.</w:t>
      </w:r>
      <w:r w:rsidRPr="006C4422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1751D4F8" w14:textId="77777777" w:rsidR="006C4422" w:rsidRPr="006C4422" w:rsidRDefault="006C4422" w:rsidP="006C4422">
      <w:pPr>
        <w:jc w:val="both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lastRenderedPageBreak/>
        <w:t>Toto nařízení nabývá účinnosti dnem 1.12.2020.</w:t>
      </w:r>
    </w:p>
    <w:p w14:paraId="3963DB20" w14:textId="77777777" w:rsidR="006C4422" w:rsidRPr="006C4422" w:rsidRDefault="006C4422" w:rsidP="006C4422">
      <w:pPr>
        <w:spacing w:before="120"/>
        <w:rPr>
          <w:rFonts w:ascii="Arial" w:hAnsi="Arial" w:cs="Arial"/>
          <w:sz w:val="22"/>
          <w:szCs w:val="22"/>
        </w:rPr>
      </w:pPr>
    </w:p>
    <w:p w14:paraId="46DA3AD5" w14:textId="77777777" w:rsidR="006C4422" w:rsidRPr="006C4422" w:rsidRDefault="006C4422" w:rsidP="006C4422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3D0FDFE9" w14:textId="77777777" w:rsidR="006C4422" w:rsidRPr="006C4422" w:rsidRDefault="006C4422" w:rsidP="006C442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250DC204" w14:textId="77777777" w:rsidR="006C4422" w:rsidRPr="006C4422" w:rsidRDefault="006C4422" w:rsidP="006C442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BD8DB29" w14:textId="77777777" w:rsidR="006C4422" w:rsidRPr="006C4422" w:rsidRDefault="006C4422" w:rsidP="006C442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95C8736" w14:textId="77777777" w:rsidR="006C4422" w:rsidRPr="006C4422" w:rsidRDefault="006C4422" w:rsidP="006C4422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BC2239" w14:textId="77777777" w:rsidR="006C4422" w:rsidRPr="006C4422" w:rsidRDefault="006C4422" w:rsidP="006C4422">
      <w:pPr>
        <w:tabs>
          <w:tab w:val="left" w:pos="1440"/>
          <w:tab w:val="left" w:pos="70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6C4422">
        <w:rPr>
          <w:rFonts w:ascii="Arial" w:hAnsi="Arial" w:cs="Arial"/>
          <w:i/>
          <w:sz w:val="22"/>
          <w:szCs w:val="22"/>
        </w:rPr>
        <w:tab/>
      </w:r>
      <w:r w:rsidRPr="006C4422">
        <w:rPr>
          <w:rFonts w:ascii="Arial" w:hAnsi="Arial" w:cs="Arial"/>
          <w:i/>
          <w:sz w:val="22"/>
          <w:szCs w:val="22"/>
        </w:rPr>
        <w:tab/>
      </w:r>
    </w:p>
    <w:p w14:paraId="5579A4FF" w14:textId="77777777" w:rsidR="006C4422" w:rsidRPr="006C4422" w:rsidRDefault="006C4422" w:rsidP="006C4422">
      <w:pPr>
        <w:tabs>
          <w:tab w:val="left" w:pos="720"/>
          <w:tab w:val="left" w:pos="6120"/>
        </w:tabs>
        <w:spacing w:line="264" w:lineRule="auto"/>
        <w:rPr>
          <w:rFonts w:ascii="Arial" w:hAnsi="Arial" w:cs="Arial"/>
          <w:i/>
          <w:sz w:val="22"/>
          <w:szCs w:val="22"/>
        </w:rPr>
      </w:pPr>
      <w:r w:rsidRPr="006C4422">
        <w:rPr>
          <w:rFonts w:ascii="Arial" w:hAnsi="Arial" w:cs="Arial"/>
          <w:i/>
          <w:sz w:val="22"/>
          <w:szCs w:val="22"/>
        </w:rPr>
        <w:tab/>
        <w:t>...................................</w:t>
      </w:r>
      <w:r w:rsidRPr="006C4422">
        <w:rPr>
          <w:rFonts w:ascii="Arial" w:hAnsi="Arial" w:cs="Arial"/>
          <w:i/>
          <w:sz w:val="22"/>
          <w:szCs w:val="22"/>
        </w:rPr>
        <w:tab/>
        <w:t>..........................................</w:t>
      </w:r>
    </w:p>
    <w:p w14:paraId="36BB9EA2" w14:textId="77777777" w:rsidR="006C4422" w:rsidRPr="006C4422" w:rsidRDefault="006C4422" w:rsidP="006C4422">
      <w:pPr>
        <w:tabs>
          <w:tab w:val="left" w:pos="1080"/>
          <w:tab w:val="left" w:pos="6660"/>
        </w:tabs>
        <w:spacing w:line="264" w:lineRule="auto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 xml:space="preserve">               Mgr. Martin Přidalík                                                         Petra Harazímová, MBA</w:t>
      </w:r>
    </w:p>
    <w:p w14:paraId="56C17814" w14:textId="77777777" w:rsidR="006C4422" w:rsidRPr="006C4422" w:rsidRDefault="006C4422" w:rsidP="006C4422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ab/>
        <w:t>místostarosta</w:t>
      </w:r>
      <w:r w:rsidRPr="006C4422">
        <w:rPr>
          <w:rFonts w:ascii="Arial" w:hAnsi="Arial" w:cs="Arial"/>
          <w:sz w:val="22"/>
          <w:szCs w:val="22"/>
        </w:rPr>
        <w:tab/>
        <w:t>starostka</w:t>
      </w:r>
    </w:p>
    <w:p w14:paraId="57287F31" w14:textId="77777777" w:rsidR="006C4422" w:rsidRPr="006C4422" w:rsidRDefault="006C4422" w:rsidP="006C4422">
      <w:pPr>
        <w:tabs>
          <w:tab w:val="left" w:pos="1080"/>
          <w:tab w:val="left" w:pos="7020"/>
        </w:tabs>
        <w:spacing w:line="264" w:lineRule="auto"/>
        <w:rPr>
          <w:rFonts w:ascii="Arial" w:hAnsi="Arial" w:cs="Arial"/>
          <w:sz w:val="22"/>
          <w:szCs w:val="22"/>
        </w:rPr>
      </w:pPr>
    </w:p>
    <w:p w14:paraId="47A4522B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05F10D86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0BA06F40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24D8AC1D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274FA16A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34F020EC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7B2BC729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Vyvěšeno na úřední desce dne:</w:t>
      </w:r>
    </w:p>
    <w:p w14:paraId="59847065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  <w:r w:rsidRPr="006C4422">
        <w:rPr>
          <w:rFonts w:ascii="Arial" w:hAnsi="Arial" w:cs="Arial"/>
          <w:sz w:val="22"/>
          <w:szCs w:val="22"/>
        </w:rPr>
        <w:t>Sejmuto z úřední desky dne:</w:t>
      </w:r>
    </w:p>
    <w:p w14:paraId="48D8C050" w14:textId="77777777" w:rsidR="006C4422" w:rsidRPr="006C4422" w:rsidRDefault="006C4422" w:rsidP="006C4422">
      <w:pPr>
        <w:tabs>
          <w:tab w:val="left" w:pos="1080"/>
          <w:tab w:val="left" w:pos="7020"/>
        </w:tabs>
        <w:spacing w:before="120" w:line="264" w:lineRule="auto"/>
        <w:rPr>
          <w:rFonts w:ascii="Arial" w:hAnsi="Arial" w:cs="Arial"/>
          <w:sz w:val="22"/>
          <w:szCs w:val="22"/>
        </w:rPr>
      </w:pPr>
    </w:p>
    <w:p w14:paraId="4321B3CF" w14:textId="77777777" w:rsidR="006C4422" w:rsidRDefault="006C4422"/>
    <w:sectPr w:rsidR="006C442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99129F" w14:textId="77777777" w:rsidR="00DE3D47" w:rsidRDefault="00DE3D47" w:rsidP="006C4422">
      <w:r>
        <w:separator/>
      </w:r>
    </w:p>
  </w:endnote>
  <w:endnote w:type="continuationSeparator" w:id="0">
    <w:p w14:paraId="26795BDA" w14:textId="77777777" w:rsidR="00DE3D47" w:rsidRDefault="00DE3D47" w:rsidP="006C4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7D59EC" w14:textId="77777777" w:rsidR="00DE3D47" w:rsidRDefault="00DE3D47" w:rsidP="006C4422">
      <w:r>
        <w:separator/>
      </w:r>
    </w:p>
  </w:footnote>
  <w:footnote w:type="continuationSeparator" w:id="0">
    <w:p w14:paraId="4CC0DC55" w14:textId="77777777" w:rsidR="00DE3D47" w:rsidRDefault="00DE3D47" w:rsidP="006C4422">
      <w:r>
        <w:continuationSeparator/>
      </w:r>
    </w:p>
  </w:footnote>
  <w:footnote w:id="1">
    <w:p w14:paraId="3E568CF0" w14:textId="77777777" w:rsidR="006C4422" w:rsidRPr="005E1224" w:rsidRDefault="006C4422" w:rsidP="006C4422">
      <w:pPr>
        <w:pStyle w:val="Textpoznpodarou"/>
      </w:pPr>
      <w:r w:rsidRPr="005E1224">
        <w:rPr>
          <w:rStyle w:val="Znakapoznpodarou"/>
        </w:rPr>
        <w:footnoteRef/>
      </w:r>
      <w:r w:rsidRPr="005E1224">
        <w:t xml:space="preserve"> zákon č. 251/2016 Sb., o některých přestupcích, ve znění pozdějších předpisů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422"/>
    <w:rsid w:val="006C4422"/>
    <w:rsid w:val="00DE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3EB784B7"/>
  <w15:chartTrackingRefBased/>
  <w15:docId w15:val="{77C1D743-A697-41DE-92F2-05E26B3EA9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C442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cs-CZ"/>
      <w14:ligatures w14:val="non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nzevzkona">
    <w:name w:val="název zákona"/>
    <w:basedOn w:val="Nzev"/>
    <w:rsid w:val="006C4422"/>
    <w:pPr>
      <w:spacing w:before="240" w:after="60"/>
      <w:contextualSpacing w:val="0"/>
      <w:jc w:val="center"/>
      <w:outlineLvl w:val="0"/>
    </w:pPr>
    <w:rPr>
      <w:rFonts w:ascii="Cambria" w:eastAsia="Times New Roman" w:hAnsi="Cambria" w:cs="Cambria"/>
      <w:b/>
      <w:bCs/>
      <w:spacing w:val="0"/>
      <w:sz w:val="32"/>
      <w:szCs w:val="32"/>
    </w:rPr>
  </w:style>
  <w:style w:type="paragraph" w:styleId="Nzev">
    <w:name w:val="Title"/>
    <w:basedOn w:val="Normln"/>
    <w:next w:val="Normln"/>
    <w:link w:val="NzevChar"/>
    <w:uiPriority w:val="10"/>
    <w:qFormat/>
    <w:rsid w:val="006C4422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6C4422"/>
    <w:rPr>
      <w:rFonts w:asciiTheme="majorHAnsi" w:eastAsiaTheme="majorEastAsia" w:hAnsiTheme="majorHAnsi" w:cstheme="majorBidi"/>
      <w:spacing w:val="-10"/>
      <w:kern w:val="28"/>
      <w:sz w:val="56"/>
      <w:szCs w:val="56"/>
      <w:lang w:eastAsia="cs-CZ"/>
      <w14:ligatures w14:val="none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4422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4422"/>
    <w:rPr>
      <w:rFonts w:ascii="Times New Roman" w:eastAsia="Times New Roman" w:hAnsi="Times New Roman" w:cs="Times New Roman"/>
      <w:kern w:val="0"/>
      <w:sz w:val="20"/>
      <w:szCs w:val="20"/>
      <w:lang w:eastAsia="cs-CZ"/>
      <w14:ligatures w14:val="none"/>
    </w:rPr>
  </w:style>
  <w:style w:type="character" w:styleId="Znakapoznpodarou">
    <w:name w:val="footnote reference"/>
    <w:uiPriority w:val="99"/>
    <w:semiHidden/>
    <w:rsid w:val="006C442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293</Words>
  <Characters>1735</Characters>
  <Application>Microsoft Office Word</Application>
  <DocSecurity>0</DocSecurity>
  <Lines>14</Lines>
  <Paragraphs>4</Paragraphs>
  <ScaleCrop>false</ScaleCrop>
  <Company/>
  <LinksUpToDate>false</LinksUpToDate>
  <CharactersWithSpaces>2024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Loučná nad Desnou</dc:creator>
  <cp:keywords/>
  <dc:description/>
  <cp:lastModifiedBy>Obec Loučná nad Desnou</cp:lastModifiedBy>
  <cp:revision>1</cp:revision>
  <dcterms:created xsi:type="dcterms:W3CDTF">2023-12-15T06:48:00Z</dcterms:created>
  <dcterms:modified xsi:type="dcterms:W3CDTF">2023-12-15T08:04:00Z</dcterms:modified>
</cp:coreProperties>
</file>