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8492F" w14:textId="01F0EEF9" w:rsidR="005D236D" w:rsidRPr="0062486B" w:rsidRDefault="00EF001C" w:rsidP="005D23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Město Spálené Poříčí</w:t>
      </w:r>
    </w:p>
    <w:p w14:paraId="412C5575" w14:textId="063D6A32" w:rsidR="005D236D" w:rsidRDefault="005D236D" w:rsidP="005D236D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="00EF001C">
        <w:rPr>
          <w:rFonts w:ascii="Arial" w:hAnsi="Arial" w:cs="Arial"/>
          <w:b/>
          <w:sz w:val="24"/>
          <w:szCs w:val="24"/>
        </w:rPr>
        <w:t>města Spálené Poříčí</w:t>
      </w:r>
    </w:p>
    <w:p w14:paraId="5CD74AFC" w14:textId="20602A65" w:rsidR="005D236D" w:rsidRPr="0062486B" w:rsidRDefault="00125CC0" w:rsidP="005D23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1/2024</w:t>
      </w:r>
    </w:p>
    <w:p w14:paraId="4A648B73" w14:textId="40CC2420" w:rsidR="005D236D" w:rsidRDefault="005D236D" w:rsidP="005D23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EF001C">
        <w:rPr>
          <w:rFonts w:ascii="Arial" w:hAnsi="Arial" w:cs="Arial"/>
          <w:b/>
          <w:sz w:val="24"/>
          <w:szCs w:val="24"/>
        </w:rPr>
        <w:t>města Spálené Poříčí,</w:t>
      </w:r>
      <w:r>
        <w:rPr>
          <w:rFonts w:ascii="Arial" w:hAnsi="Arial" w:cs="Arial"/>
          <w:b/>
          <w:sz w:val="24"/>
          <w:szCs w:val="24"/>
        </w:rPr>
        <w:t xml:space="preserve"> kterou se zvyšuje koeficient, jímž se násobí sazba daně u vybraných skupin staveb a jednotek</w:t>
      </w:r>
    </w:p>
    <w:p w14:paraId="0E4695D2" w14:textId="77777777" w:rsidR="005D236D" w:rsidRPr="0062486B" w:rsidRDefault="005D236D" w:rsidP="005D236D">
      <w:pPr>
        <w:spacing w:line="276" w:lineRule="auto"/>
        <w:jc w:val="center"/>
        <w:rPr>
          <w:rFonts w:ascii="Arial" w:hAnsi="Arial" w:cs="Arial"/>
        </w:rPr>
      </w:pPr>
    </w:p>
    <w:p w14:paraId="44EE4100" w14:textId="7CAABB2D" w:rsidR="005D236D" w:rsidRDefault="005D236D" w:rsidP="005D236D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</w:t>
      </w:r>
      <w:r w:rsidR="00EF001C">
        <w:rPr>
          <w:rFonts w:ascii="Arial" w:hAnsi="Arial" w:cs="Arial"/>
        </w:rPr>
        <w:t>města Spálené Poříčí</w:t>
      </w:r>
      <w:r>
        <w:rPr>
          <w:rFonts w:ascii="Arial" w:hAnsi="Arial" w:cs="Arial"/>
        </w:rPr>
        <w:t xml:space="preserve"> se na svém zasedání dne </w:t>
      </w:r>
      <w:r w:rsidR="00EF001C">
        <w:rPr>
          <w:rFonts w:ascii="Arial" w:hAnsi="Arial" w:cs="Arial"/>
        </w:rPr>
        <w:t>10. 6. 2024</w:t>
      </w:r>
      <w:r w:rsidR="00125CC0">
        <w:rPr>
          <w:rFonts w:ascii="Arial" w:hAnsi="Arial" w:cs="Arial"/>
        </w:rPr>
        <w:t xml:space="preserve"> </w:t>
      </w:r>
      <w:r w:rsidRPr="00851874">
        <w:rPr>
          <w:rFonts w:ascii="Arial" w:hAnsi="Arial" w:cs="Arial"/>
        </w:rPr>
        <w:t>usneslo vydat na</w:t>
      </w:r>
      <w:r>
        <w:rPr>
          <w:rFonts w:ascii="Arial" w:hAnsi="Arial" w:cs="Arial"/>
        </w:rPr>
        <w:t> </w:t>
      </w:r>
      <w:r w:rsidRPr="00851874">
        <w:rPr>
          <w:rFonts w:ascii="Arial" w:hAnsi="Arial" w:cs="Arial"/>
        </w:rPr>
        <w:t xml:space="preserve">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11</w:t>
      </w:r>
      <w:r w:rsidRPr="00DA3552">
        <w:rPr>
          <w:rFonts w:ascii="Arial" w:hAnsi="Arial" w:cs="Arial"/>
        </w:rPr>
        <w:t xml:space="preserve"> odst. </w:t>
      </w:r>
      <w:r>
        <w:rPr>
          <w:rFonts w:ascii="Arial" w:hAnsi="Arial" w:cs="Arial"/>
        </w:rPr>
        <w:t>5</w:t>
      </w:r>
      <w:r w:rsidRPr="00DA35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 znění pozdějších předpisů (dále jen „zákon o dani z nemovitých věcí“)</w:t>
      </w:r>
      <w:r>
        <w:rPr>
          <w:rFonts w:ascii="Arial" w:hAnsi="Arial" w:cs="Arial"/>
        </w:rPr>
        <w:t>, a v souladu s § 10 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2 písm. h) zákona č.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128/2000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4A8CAB99" w14:textId="77777777" w:rsidR="005D236D" w:rsidRDefault="005D236D" w:rsidP="005D23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19FD8CA" w14:textId="77777777" w:rsidR="005D236D" w:rsidRPr="005F7FAE" w:rsidRDefault="005D236D" w:rsidP="005D23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Zvýšení koeficientu u vybraných skupin staveb a jednotek</w:t>
      </w:r>
    </w:p>
    <w:p w14:paraId="3C4C6672" w14:textId="5BAC27E4" w:rsidR="005D236D" w:rsidRDefault="005D236D" w:rsidP="005D236D">
      <w:pPr>
        <w:tabs>
          <w:tab w:val="left" w:pos="56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160D8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 xml:space="preserve">zdanitelných staveb zařazených ve skupině obytných budov a u zdanitelných jednotek zařazených ve skupině ostatních zdanitelných jednotek se koeficient, jímž se násobí sazba daně, zvyšuje o jednu kategorii podle členění koeficientů dle </w:t>
      </w:r>
      <w:r w:rsidRPr="003F4F73">
        <w:rPr>
          <w:rFonts w:ascii="Arial" w:hAnsi="Arial" w:cs="Arial"/>
        </w:rPr>
        <w:t>§ 1</w:t>
      </w:r>
      <w:r w:rsidR="003F4F73" w:rsidRPr="003F4F73">
        <w:rPr>
          <w:rFonts w:ascii="Arial" w:hAnsi="Arial" w:cs="Arial"/>
        </w:rPr>
        <w:t>1</w:t>
      </w:r>
      <w:r w:rsidRPr="003F4F73">
        <w:rPr>
          <w:rFonts w:ascii="Arial" w:hAnsi="Arial" w:cs="Arial"/>
        </w:rPr>
        <w:t xml:space="preserve"> odst. 4</w:t>
      </w:r>
      <w:r>
        <w:rPr>
          <w:rFonts w:ascii="Arial" w:hAnsi="Arial" w:cs="Arial"/>
        </w:rPr>
        <w:t xml:space="preserve"> zákona o dani z nemovitých věcí, a to pro všechny tyto zdanitelné stavby a jednotky na území jednotlivého katastrálního území:</w:t>
      </w:r>
      <w:r w:rsidR="00EF001C">
        <w:rPr>
          <w:rFonts w:ascii="Arial" w:hAnsi="Arial" w:cs="Arial"/>
        </w:rPr>
        <w:tab/>
        <w:t>Spálené Poříčí</w:t>
      </w:r>
    </w:p>
    <w:p w14:paraId="4BDB98BC" w14:textId="77777777" w:rsidR="005D236D" w:rsidRPr="005F7FAE" w:rsidRDefault="005D236D" w:rsidP="005D236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427F4DB9" w14:textId="77777777" w:rsidR="005D236D" w:rsidRPr="005F7FAE" w:rsidRDefault="005D236D" w:rsidP="005D23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28D57B7D" w14:textId="7514CE3E" w:rsidR="005D236D" w:rsidRPr="0062486B" w:rsidRDefault="005D236D" w:rsidP="005D236D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="00EF001C">
        <w:rPr>
          <w:rFonts w:ascii="Arial" w:hAnsi="Arial" w:cs="Arial"/>
        </w:rPr>
        <w:t>města Spálené Poříčí</w:t>
      </w:r>
      <w:r w:rsidRPr="0062486B">
        <w:rPr>
          <w:rFonts w:ascii="Arial" w:hAnsi="Arial" w:cs="Arial"/>
        </w:rPr>
        <w:t xml:space="preserve"> č. </w:t>
      </w:r>
      <w:r w:rsidR="00EF001C">
        <w:rPr>
          <w:rFonts w:ascii="Arial" w:hAnsi="Arial" w:cs="Arial"/>
        </w:rPr>
        <w:t>1/2008 o stanovení koeficientu pro výpočet daně z nemovitostí</w:t>
      </w:r>
      <w:r w:rsidRPr="0062486B">
        <w:rPr>
          <w:rFonts w:ascii="Arial" w:hAnsi="Arial" w:cs="Arial"/>
        </w:rPr>
        <w:t xml:space="preserve">, ze dne </w:t>
      </w:r>
      <w:r w:rsidR="00EF001C">
        <w:rPr>
          <w:rFonts w:ascii="Arial" w:hAnsi="Arial" w:cs="Arial"/>
        </w:rPr>
        <w:t>9. 6. 2008</w:t>
      </w:r>
      <w:r w:rsidRPr="0062486B">
        <w:rPr>
          <w:rFonts w:ascii="Arial" w:hAnsi="Arial" w:cs="Arial"/>
        </w:rPr>
        <w:t>.</w:t>
      </w:r>
    </w:p>
    <w:p w14:paraId="2C8518E8" w14:textId="77777777" w:rsidR="00435182" w:rsidRDefault="00435182" w:rsidP="005D236D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140EF476" w14:textId="77777777" w:rsidR="005D236D" w:rsidRPr="005F7FAE" w:rsidRDefault="005D236D" w:rsidP="005D236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1CC51B07" w14:textId="77777777" w:rsidR="005D236D" w:rsidRPr="00834C11" w:rsidRDefault="005D236D" w:rsidP="005D236D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 w:rsidRPr="005F7FAE">
        <w:rPr>
          <w:rFonts w:ascii="Arial" w:hAnsi="Arial" w:cs="Arial"/>
          <w:b/>
        </w:rPr>
        <w:t>Účinnost</w:t>
      </w:r>
    </w:p>
    <w:p w14:paraId="50AA8BF2" w14:textId="34D98057" w:rsidR="005D236D" w:rsidRDefault="005D236D" w:rsidP="005D236D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>vyhláška nabývá účinnosti dnem</w:t>
      </w:r>
      <w:r>
        <w:rPr>
          <w:rFonts w:ascii="Arial" w:hAnsi="Arial" w:cs="Arial"/>
        </w:rPr>
        <w:t xml:space="preserve"> 1. ledna </w:t>
      </w:r>
      <w:r w:rsidR="00EF001C">
        <w:rPr>
          <w:rFonts w:ascii="Arial" w:hAnsi="Arial" w:cs="Arial"/>
        </w:rPr>
        <w:t>2025</w:t>
      </w:r>
      <w:r>
        <w:rPr>
          <w:rFonts w:ascii="Arial" w:hAnsi="Arial" w:cs="Arial"/>
        </w:rPr>
        <w:t>.</w:t>
      </w:r>
    </w:p>
    <w:p w14:paraId="39C7A9CB" w14:textId="77777777" w:rsidR="005D236D" w:rsidRPr="0062486B" w:rsidRDefault="005D236D" w:rsidP="005D236D">
      <w:pPr>
        <w:spacing w:line="276" w:lineRule="auto"/>
        <w:rPr>
          <w:rFonts w:ascii="Arial" w:hAnsi="Arial" w:cs="Arial"/>
        </w:rPr>
      </w:pPr>
    </w:p>
    <w:p w14:paraId="3BC99348" w14:textId="77777777" w:rsidR="005D236D" w:rsidRPr="0062486B" w:rsidRDefault="005D236D" w:rsidP="005D236D">
      <w:pPr>
        <w:spacing w:line="276" w:lineRule="auto"/>
        <w:rPr>
          <w:rFonts w:ascii="Arial" w:hAnsi="Arial" w:cs="Arial"/>
        </w:rPr>
      </w:pPr>
    </w:p>
    <w:p w14:paraId="3F241662" w14:textId="77777777" w:rsidR="005D236D" w:rsidRPr="0062486B" w:rsidRDefault="005D236D" w:rsidP="005D236D">
      <w:pPr>
        <w:spacing w:line="276" w:lineRule="auto"/>
        <w:rPr>
          <w:rFonts w:ascii="Arial" w:hAnsi="Arial" w:cs="Arial"/>
        </w:rPr>
      </w:pPr>
    </w:p>
    <w:p w14:paraId="667B96A6" w14:textId="77777777" w:rsidR="005D236D" w:rsidRPr="0062486B" w:rsidRDefault="005D236D" w:rsidP="005D236D">
      <w:pPr>
        <w:spacing w:line="276" w:lineRule="auto"/>
        <w:rPr>
          <w:rFonts w:ascii="Arial" w:hAnsi="Arial" w:cs="Arial"/>
        </w:rPr>
      </w:pPr>
    </w:p>
    <w:p w14:paraId="2E4F5179" w14:textId="77777777" w:rsidR="005D236D" w:rsidRPr="0062486B" w:rsidRDefault="005D236D" w:rsidP="005D236D">
      <w:pPr>
        <w:spacing w:line="276" w:lineRule="auto"/>
        <w:rPr>
          <w:rFonts w:ascii="Arial" w:hAnsi="Arial" w:cs="Arial"/>
        </w:rPr>
        <w:sectPr w:rsidR="005D236D" w:rsidRPr="0062486B" w:rsidSect="00EF001C">
          <w:footerReference w:type="default" r:id="rId8"/>
          <w:footnotePr>
            <w:numRestart w:val="eachSect"/>
          </w:footnotePr>
          <w:type w:val="continuous"/>
          <w:pgSz w:w="11906" w:h="16838"/>
          <w:pgMar w:top="1418" w:right="1418" w:bottom="2126" w:left="1418" w:header="709" w:footer="709" w:gutter="0"/>
          <w:cols w:space="708"/>
          <w:docGrid w:linePitch="360"/>
        </w:sectPr>
      </w:pPr>
    </w:p>
    <w:p w14:paraId="33F54967" w14:textId="77777777" w:rsidR="005D236D" w:rsidRPr="0062486B" w:rsidRDefault="005D236D" w:rsidP="005D236D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640DC1F8" w14:textId="0211E899" w:rsidR="005D236D" w:rsidRPr="0062486B" w:rsidRDefault="00125CC0" w:rsidP="005D236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Ing. Jindřich </w:t>
      </w:r>
      <w:proofErr w:type="spellStart"/>
      <w:r>
        <w:rPr>
          <w:rFonts w:ascii="Arial" w:hAnsi="Arial" w:cs="Arial"/>
        </w:rPr>
        <w:t>Jindřich</w:t>
      </w:r>
      <w:proofErr w:type="spellEnd"/>
    </w:p>
    <w:p w14:paraId="7ED720DB" w14:textId="77777777" w:rsidR="005D236D" w:rsidRDefault="005D236D" w:rsidP="005D236D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</w:p>
    <w:p w14:paraId="1E1462A1" w14:textId="77777777" w:rsidR="005D236D" w:rsidRDefault="005D236D" w:rsidP="005D236D">
      <w:pPr>
        <w:keepNext/>
        <w:spacing w:line="276" w:lineRule="auto"/>
        <w:jc w:val="center"/>
        <w:rPr>
          <w:rFonts w:ascii="Arial" w:hAnsi="Arial" w:cs="Arial"/>
        </w:rPr>
      </w:pPr>
    </w:p>
    <w:p w14:paraId="0F1871B7" w14:textId="77777777" w:rsidR="005D236D" w:rsidRPr="0062486B" w:rsidRDefault="005D236D" w:rsidP="005D236D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37CF27F0" w14:textId="5C1877FD" w:rsidR="005D236D" w:rsidRPr="0062486B" w:rsidRDefault="00125CC0" w:rsidP="005D236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Pavel Čížek</w:t>
      </w:r>
    </w:p>
    <w:p w14:paraId="213BED58" w14:textId="77777777" w:rsidR="005D236D" w:rsidRDefault="005D236D" w:rsidP="005D236D">
      <w:pPr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místostarost</w:t>
      </w:r>
      <w:r>
        <w:rPr>
          <w:rFonts w:ascii="Arial" w:hAnsi="Arial" w:cs="Arial"/>
        </w:rPr>
        <w:t>a</w:t>
      </w:r>
    </w:p>
    <w:p w14:paraId="130D0391" w14:textId="77777777" w:rsidR="005D236D" w:rsidRDefault="005D236D" w:rsidP="005D236D">
      <w:pPr>
        <w:spacing w:line="276" w:lineRule="auto"/>
        <w:jc w:val="center"/>
        <w:rPr>
          <w:rFonts w:ascii="Arial" w:hAnsi="Arial" w:cs="Arial"/>
        </w:rPr>
      </w:pPr>
    </w:p>
    <w:p w14:paraId="754E86CC" w14:textId="77777777" w:rsidR="005D236D" w:rsidRDefault="005D236D" w:rsidP="005D236D">
      <w:pPr>
        <w:spacing w:line="276" w:lineRule="auto"/>
        <w:jc w:val="center"/>
        <w:rPr>
          <w:rFonts w:ascii="Arial" w:hAnsi="Arial" w:cs="Arial"/>
        </w:rPr>
        <w:sectPr w:rsidR="005D236D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04C81CA" w14:textId="77777777" w:rsidR="00851AAA" w:rsidRPr="00F73E98" w:rsidRDefault="00851AAA" w:rsidP="00EF001C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sectPr w:rsidR="00851AAA" w:rsidRPr="00F73E98" w:rsidSect="005D236D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9680F" w14:textId="77777777" w:rsidR="0032618C" w:rsidRDefault="0032618C" w:rsidP="006A579C">
      <w:pPr>
        <w:spacing w:after="0"/>
      </w:pPr>
      <w:r>
        <w:separator/>
      </w:r>
    </w:p>
  </w:endnote>
  <w:endnote w:type="continuationSeparator" w:id="0">
    <w:p w14:paraId="146123F3" w14:textId="77777777" w:rsidR="0032618C" w:rsidRDefault="0032618C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038708894"/>
      <w:docPartObj>
        <w:docPartGallery w:val="Page Numbers (Bottom of Page)"/>
        <w:docPartUnique/>
      </w:docPartObj>
    </w:sdtPr>
    <w:sdtContent>
      <w:p w14:paraId="00EF5F10" w14:textId="1C8BD27B" w:rsidR="005D236D" w:rsidRPr="00456B24" w:rsidRDefault="005D236D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56FF8">
          <w:rPr>
            <w:rFonts w:ascii="Arial" w:hAnsi="Arial" w:cs="Arial"/>
            <w:noProof/>
          </w:rPr>
          <w:t>17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7A1EAC05" w14:textId="77777777" w:rsidR="005D236D" w:rsidRDefault="005D23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AA3AF" w14:textId="77777777" w:rsidR="0032618C" w:rsidRDefault="0032618C" w:rsidP="006A579C">
      <w:pPr>
        <w:spacing w:after="0"/>
      </w:pPr>
      <w:r>
        <w:separator/>
      </w:r>
    </w:p>
  </w:footnote>
  <w:footnote w:type="continuationSeparator" w:id="0">
    <w:p w14:paraId="5D44B844" w14:textId="77777777" w:rsidR="0032618C" w:rsidRDefault="0032618C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783092">
    <w:abstractNumId w:val="3"/>
  </w:num>
  <w:num w:numId="2" w16cid:durableId="547035138">
    <w:abstractNumId w:val="5"/>
  </w:num>
  <w:num w:numId="3" w16cid:durableId="955452097">
    <w:abstractNumId w:val="4"/>
  </w:num>
  <w:num w:numId="4" w16cid:durableId="356540701">
    <w:abstractNumId w:val="28"/>
  </w:num>
  <w:num w:numId="5" w16cid:durableId="1492209141">
    <w:abstractNumId w:val="17"/>
  </w:num>
  <w:num w:numId="6" w16cid:durableId="1764912874">
    <w:abstractNumId w:val="21"/>
  </w:num>
  <w:num w:numId="7" w16cid:durableId="991448532">
    <w:abstractNumId w:val="33"/>
  </w:num>
  <w:num w:numId="8" w16cid:durableId="1967544464">
    <w:abstractNumId w:val="25"/>
  </w:num>
  <w:num w:numId="9" w16cid:durableId="2108311744">
    <w:abstractNumId w:val="18"/>
  </w:num>
  <w:num w:numId="10" w16cid:durableId="1447381969">
    <w:abstractNumId w:val="20"/>
  </w:num>
  <w:num w:numId="11" w16cid:durableId="1779830310">
    <w:abstractNumId w:val="0"/>
  </w:num>
  <w:num w:numId="12" w16cid:durableId="1822193666">
    <w:abstractNumId w:val="19"/>
  </w:num>
  <w:num w:numId="13" w16cid:durableId="1754887035">
    <w:abstractNumId w:val="8"/>
  </w:num>
  <w:num w:numId="14" w16cid:durableId="1297103730">
    <w:abstractNumId w:val="30"/>
  </w:num>
  <w:num w:numId="15" w16cid:durableId="422453023">
    <w:abstractNumId w:val="26"/>
  </w:num>
  <w:num w:numId="16" w16cid:durableId="357388366">
    <w:abstractNumId w:val="13"/>
  </w:num>
  <w:num w:numId="17" w16cid:durableId="1645507599">
    <w:abstractNumId w:val="23"/>
  </w:num>
  <w:num w:numId="18" w16cid:durableId="682240864">
    <w:abstractNumId w:val="1"/>
  </w:num>
  <w:num w:numId="19" w16cid:durableId="2013677322">
    <w:abstractNumId w:val="34"/>
  </w:num>
  <w:num w:numId="20" w16cid:durableId="61224746">
    <w:abstractNumId w:val="31"/>
  </w:num>
  <w:num w:numId="21" w16cid:durableId="1964387030">
    <w:abstractNumId w:val="24"/>
  </w:num>
  <w:num w:numId="22" w16cid:durableId="114910566">
    <w:abstractNumId w:val="12"/>
  </w:num>
  <w:num w:numId="23" w16cid:durableId="1270510731">
    <w:abstractNumId w:val="29"/>
  </w:num>
  <w:num w:numId="24" w16cid:durableId="272135237">
    <w:abstractNumId w:val="9"/>
  </w:num>
  <w:num w:numId="25" w16cid:durableId="2087875478">
    <w:abstractNumId w:val="6"/>
  </w:num>
  <w:num w:numId="26" w16cid:durableId="1465008189">
    <w:abstractNumId w:val="2"/>
  </w:num>
  <w:num w:numId="27" w16cid:durableId="1387953904">
    <w:abstractNumId w:val="32"/>
  </w:num>
  <w:num w:numId="28" w16cid:durableId="731388611">
    <w:abstractNumId w:val="27"/>
  </w:num>
  <w:num w:numId="29" w16cid:durableId="538737684">
    <w:abstractNumId w:val="35"/>
  </w:num>
  <w:num w:numId="30" w16cid:durableId="1199586892">
    <w:abstractNumId w:val="11"/>
  </w:num>
  <w:num w:numId="31" w16cid:durableId="687759147">
    <w:abstractNumId w:val="15"/>
  </w:num>
  <w:num w:numId="32" w16cid:durableId="379937814">
    <w:abstractNumId w:val="7"/>
  </w:num>
  <w:num w:numId="33" w16cid:durableId="372191609">
    <w:abstractNumId w:val="14"/>
  </w:num>
  <w:num w:numId="34" w16cid:durableId="591090143">
    <w:abstractNumId w:val="22"/>
  </w:num>
  <w:num w:numId="35" w16cid:durableId="834343585">
    <w:abstractNumId w:val="10"/>
  </w:num>
  <w:num w:numId="36" w16cid:durableId="283659674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25CC0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A7DC7"/>
    <w:rsid w:val="001C1D49"/>
    <w:rsid w:val="001C5193"/>
    <w:rsid w:val="001C55C2"/>
    <w:rsid w:val="001E13DF"/>
    <w:rsid w:val="001E742B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2618C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22C0"/>
    <w:rsid w:val="00B94782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50A6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F001C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203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Eva Kubová</cp:lastModifiedBy>
  <cp:revision>3</cp:revision>
  <cp:lastPrinted>2024-06-17T10:22:00Z</cp:lastPrinted>
  <dcterms:created xsi:type="dcterms:W3CDTF">2024-05-30T09:51:00Z</dcterms:created>
  <dcterms:modified xsi:type="dcterms:W3CDTF">2024-06-17T10:22:00Z</dcterms:modified>
</cp:coreProperties>
</file>