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jc w:val="center"/>
        <w:rPr>
          <w:rFonts w:ascii="Arial" w:hAnsi="Arial" w:cs="Arial"/>
          <w:b w:val="false"/>
          <w:b w:val="false"/>
          <w:szCs w:val="32"/>
        </w:rPr>
      </w:pPr>
      <w:r>
        <w:rPr>
          <w:rFonts w:cs="Arial" w:ascii="Arial" w:hAnsi="Arial"/>
          <w:b w:val="false"/>
          <w:szCs w:val="32"/>
        </w:rPr>
      </w:r>
    </w:p>
    <w:p>
      <w:pPr>
        <w:pStyle w:val="NormlnIMP"/>
        <w:spacing w:lineRule="auto" w:line="240"/>
        <w:jc w:val="center"/>
        <w:rPr>
          <w:rFonts w:ascii="Arial" w:hAnsi="Arial" w:cs="Arial"/>
          <w:b/>
          <w:b/>
          <w:color w:val="000000"/>
          <w:sz w:val="60"/>
          <w:szCs w:val="60"/>
        </w:rPr>
      </w:pPr>
      <w:r>
        <w:rPr>
          <w:rFonts w:cs="Arial" w:ascii="Arial" w:hAnsi="Arial"/>
          <w:b/>
          <w:color w:val="000000"/>
          <w:sz w:val="60"/>
          <w:szCs w:val="60"/>
        </w:rPr>
      </w:r>
    </w:p>
    <w:p>
      <w:pPr>
        <w:pStyle w:val="NormlnIMP"/>
        <w:spacing w:lineRule="auto" w:line="240"/>
        <w:jc w:val="center"/>
        <w:rPr>
          <w:b/>
          <w:b/>
          <w:color w:val="000000"/>
          <w:sz w:val="60"/>
          <w:szCs w:val="60"/>
        </w:rPr>
      </w:pPr>
      <w:r>
        <w:rPr>
          <w:b/>
          <w:color w:val="000000"/>
          <w:sz w:val="60"/>
          <w:szCs w:val="60"/>
        </w:rPr>
        <w:t>OBECNĚ ZÁVAZNÁ VYHLÁŠKA</w:t>
      </w:r>
    </w:p>
    <w:p>
      <w:pPr>
        <w:pStyle w:val="NormlnIMP"/>
        <w:spacing w:lineRule="auto" w:line="312"/>
        <w:jc w:val="center"/>
        <w:rPr>
          <w:b/>
          <w:b/>
          <w:color w:val="000000"/>
          <w:sz w:val="40"/>
          <w:szCs w:val="40"/>
        </w:rPr>
      </w:pPr>
      <w:r>
        <w:rPr>
          <w:b/>
          <w:color w:val="000000"/>
          <w:sz w:val="40"/>
          <w:szCs w:val="40"/>
        </w:rPr>
        <w:t xml:space="preserve">obce  T I S E M </w:t>
      </w:r>
    </w:p>
    <w:p>
      <w:pPr>
        <w:pStyle w:val="NormlnIMP"/>
        <w:spacing w:lineRule="auto" w:line="240"/>
        <w:jc w:val="center"/>
        <w:rPr>
          <w:b/>
          <w:b/>
          <w:color w:val="000000"/>
          <w:sz w:val="38"/>
          <w:szCs w:val="38"/>
        </w:rPr>
      </w:pPr>
      <w:r>
        <w:rPr>
          <w:b/>
          <w:color w:val="000000"/>
          <w:sz w:val="38"/>
          <w:szCs w:val="38"/>
        </w:rPr>
        <w:t>o stanovení obecního systému odpadového hospodářství</w:t>
      </w:r>
    </w:p>
    <w:p>
      <w:pPr>
        <w:pStyle w:val="Normal"/>
        <w:rPr>
          <w:b/>
          <w:b/>
          <w:color w:val="000000"/>
          <w:sz w:val="22"/>
          <w:szCs w:val="22"/>
          <w:u w:val="single"/>
        </w:rPr>
      </w:pPr>
      <w:r>
        <w:rPr>
          <w:b/>
          <w:color w:val="000000"/>
          <w:sz w:val="22"/>
          <w:szCs w:val="22"/>
          <w:u w:val="single"/>
        </w:rPr>
      </w:r>
    </w:p>
    <w:p>
      <w:pPr>
        <w:pStyle w:val="Zkladntextodsazen2"/>
        <w:ind w:left="0" w:right="0" w:hanging="0"/>
        <w:rPr/>
      </w:pPr>
      <w:r>
        <w:rPr>
          <w:rFonts w:cs="Arial" w:ascii="Arial" w:hAnsi="Arial"/>
          <w:sz w:val="22"/>
          <w:szCs w:val="22"/>
        </w:rPr>
        <w:t>Zastupitelstvo obce Tisem se na svém zasedání dne 27.11.2024 usnesením č. 29</w:t>
      </w:r>
      <w:r>
        <w:rPr>
          <w:rFonts w:cs="Arial" w:ascii="Arial" w:hAnsi="Arial"/>
          <w:sz w:val="22"/>
          <w:szCs w:val="22"/>
          <w:shd w:fill="auto" w:val="clear"/>
        </w:rPr>
        <w:t>/11/2024</w:t>
      </w:r>
      <w:r>
        <w:rPr>
          <w:rFonts w:cs="Arial" w:ascii="Arial" w:hAnsi="Arial"/>
          <w:sz w:val="22"/>
          <w:szCs w:val="22"/>
        </w:rPr>
        <w:t xml:space="preserve"> usneslo vydat na základě § 59 odst. 4 zákona č. 541/2020 Sb., o odpadech (dále jen „zákon </w:t>
        <w:br/>
        <w:t xml:space="preserve">o odpadech“), a v souladu s § 10 písm. d) a § 84 odst. 2 písm. h) zákona č. 128/2000 Sb., </w:t>
        <w:br/>
        <w:t>o obcích (obecní zřízení), ve znění pozdějších předpisů, tuto obecně závaznou vyhlášku (dále jen „vyhláška“):</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Nadpis2"/>
        <w:jc w:val="center"/>
        <w:rPr>
          <w:rFonts w:ascii="Arial" w:hAnsi="Arial" w:cs="Arial"/>
          <w:b/>
          <w:b/>
          <w:bCs/>
          <w:sz w:val="22"/>
          <w:szCs w:val="22"/>
          <w:u w:val="none"/>
        </w:rPr>
      </w:pPr>
      <w:r>
        <w:rPr>
          <w:rFonts w:cs="Arial" w:ascii="Arial" w:hAnsi="Arial"/>
          <w:b/>
          <w:bCs/>
          <w:sz w:val="22"/>
          <w:szCs w:val="22"/>
          <w:u w:val="none"/>
        </w:rPr>
        <w:t>Úvodní ustanovení</w:t>
      </w:r>
    </w:p>
    <w:p>
      <w:pPr>
        <w:pStyle w:val="Normal"/>
        <w:tabs>
          <w:tab w:val="clear" w:pos="709"/>
          <w:tab w:val="left" w:pos="567" w:leader="none"/>
        </w:tabs>
        <w:jc w:val="both"/>
        <w:rPr>
          <w:rFonts w:ascii="Arial" w:hAnsi="Arial" w:cs="Arial"/>
          <w:b/>
          <w:b/>
          <w:bCs/>
          <w:sz w:val="22"/>
          <w:szCs w:val="22"/>
          <w:u w:val="none"/>
        </w:rPr>
      </w:pPr>
      <w:r>
        <w:rPr>
          <w:rFonts w:cs="Arial" w:ascii="Arial" w:hAnsi="Arial"/>
          <w:b/>
          <w:bCs/>
          <w:sz w:val="22"/>
          <w:szCs w:val="22"/>
          <w:u w:val="none"/>
        </w:rPr>
      </w:r>
    </w:p>
    <w:p>
      <w:pPr>
        <w:pStyle w:val="Normal"/>
        <w:numPr>
          <w:ilvl w:val="0"/>
          <w:numId w:val="4"/>
        </w:numPr>
        <w:tabs>
          <w:tab w:val="clear" w:pos="709"/>
          <w:tab w:val="left" w:pos="0" w:leader="none"/>
        </w:tabs>
        <w:ind w:left="0" w:right="0" w:hanging="426"/>
        <w:jc w:val="both"/>
        <w:rPr>
          <w:rFonts w:ascii="Arial" w:hAnsi="Arial" w:cs="Arial"/>
          <w:sz w:val="22"/>
          <w:szCs w:val="22"/>
        </w:rPr>
      </w:pPr>
      <w:r>
        <w:rPr>
          <w:rFonts w:cs="Arial" w:ascii="Arial" w:hAnsi="Arial"/>
          <w:sz w:val="22"/>
          <w:szCs w:val="22"/>
        </w:rPr>
        <w:t>Tato vyhláška stanovuje obecní systém odpadového hospodářství na území obce Tisem.</w:t>
      </w:r>
    </w:p>
    <w:p>
      <w:pPr>
        <w:pStyle w:val="Normal"/>
        <w:tabs>
          <w:tab w:val="clear" w:pos="709"/>
          <w:tab w:val="left" w:pos="567" w:leader="none"/>
        </w:tabs>
        <w:jc w:val="both"/>
        <w:rPr/>
      </w:pPr>
      <w:r>
        <w:rPr/>
      </w:r>
    </w:p>
    <w:p>
      <w:pPr>
        <w:pStyle w:val="Normal"/>
        <w:tabs>
          <w:tab w:val="clear" w:pos="709"/>
          <w:tab w:val="left" w:pos="567" w:leader="none"/>
        </w:tabs>
        <w:jc w:val="both"/>
        <w:rPr>
          <w:rFonts w:ascii="Arial" w:hAnsi="Arial" w:cs="Arial"/>
          <w:i/>
          <w:i/>
          <w:color w:val="FF0000"/>
          <w:sz w:val="22"/>
          <w:szCs w:val="22"/>
        </w:rPr>
      </w:pPr>
      <w:r>
        <w:rPr>
          <w:rFonts w:cs="Arial" w:ascii="Arial" w:hAnsi="Arial"/>
          <w:i/>
          <w:color w:val="FF0000"/>
          <w:sz w:val="22"/>
          <w:szCs w:val="22"/>
        </w:rPr>
      </w:r>
    </w:p>
    <w:p>
      <w:pPr>
        <w:pStyle w:val="Normal"/>
        <w:numPr>
          <w:ilvl w:val="0"/>
          <w:numId w:val="4"/>
        </w:numPr>
        <w:tabs>
          <w:tab w:val="clear" w:pos="709"/>
          <w:tab w:val="left" w:pos="-142" w:leader="none"/>
        </w:tabs>
        <w:autoSpaceDE w:val="false"/>
        <w:ind w:left="0" w:right="0" w:hanging="426"/>
        <w:jc w:val="both"/>
        <w:rPr/>
      </w:pPr>
      <w:r>
        <w:rPr>
          <w:rFonts w:eastAsia="Arial" w:cs="Arial" w:ascii="Arial" w:hAnsi="Arial"/>
          <w:color w:val="FF0000"/>
          <w:sz w:val="22"/>
          <w:szCs w:val="22"/>
        </w:rPr>
        <w:t xml:space="preserve">  </w:t>
      </w:r>
      <w:r>
        <w:rPr>
          <w:rFonts w:cs="Arial" w:ascii="Arial" w:hAnsi="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cs="Arial" w:ascii="Arial" w:hAnsi="Arial"/>
          <w:sz w:val="22"/>
          <w:szCs w:val="22"/>
          <w:shd w:fill="auto" w:val="clear"/>
        </w:rPr>
        <w:t>1</w:t>
      </w:r>
      <w:r>
        <w:rPr>
          <w:rFonts w:cs="Arial" w:ascii="Arial" w:hAnsi="Arial"/>
          <w:sz w:val="22"/>
          <w:szCs w:val="22"/>
        </w:rPr>
        <w:t>.</w:t>
      </w:r>
    </w:p>
    <w:p>
      <w:pPr>
        <w:pStyle w:val="Normal"/>
        <w:tabs>
          <w:tab w:val="clear" w:pos="709"/>
          <w:tab w:val="left" w:pos="567" w:leader="none"/>
        </w:tabs>
        <w:autoSpaceDE w:val="false"/>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142" w:leader="none"/>
        </w:tabs>
        <w:autoSpaceDE w:val="false"/>
        <w:ind w:left="0" w:right="0" w:hanging="426"/>
        <w:jc w:val="both"/>
        <w:rPr/>
      </w:pPr>
      <w:r>
        <w:rPr>
          <w:rFonts w:eastAsia="Arial" w:cs="Arial" w:ascii="Arial" w:hAnsi="Arial"/>
          <w:sz w:val="22"/>
          <w:szCs w:val="22"/>
        </w:rPr>
        <w:t xml:space="preserve">  </w:t>
      </w:r>
      <w:r>
        <w:rPr>
          <w:rFonts w:cs="Arial" w:ascii="Arial" w:hAnsi="Arial"/>
          <w:sz w:val="22"/>
          <w:szCs w:val="22"/>
        </w:rPr>
        <w:t xml:space="preserve">V okamžiku, kdy osoba zapojená do obecního systému odloží movitou věc nebo odpad, </w:t>
        <w:br/>
        <w:t>s výjimkou výrobků s ukončenou životností, na místě obcí k tomuto účelu určeném, stává se obec vlastníkem této movité věci nebo odpadu</w:t>
      </w:r>
      <w:r>
        <w:rPr>
          <w:rStyle w:val="Znakypropoznmkupodarou"/>
          <w:rFonts w:cs="Arial" w:ascii="Arial" w:hAnsi="Arial"/>
          <w:sz w:val="22"/>
          <w:szCs w:val="22"/>
        </w:rPr>
        <w:t>1</w:t>
      </w:r>
      <w:r>
        <w:rPr>
          <w:rFonts w:cs="Arial" w:ascii="Arial" w:hAnsi="Arial"/>
          <w:sz w:val="22"/>
          <w:szCs w:val="22"/>
        </w:rPr>
        <w:t xml:space="preserve">. </w:t>
      </w:r>
    </w:p>
    <w:p>
      <w:pPr>
        <w:pStyle w:val="Normal"/>
        <w:tabs>
          <w:tab w:val="clear" w:pos="709"/>
          <w:tab w:val="left" w:pos="-142" w:leader="none"/>
        </w:tabs>
        <w:autoSpaceDE w:val="false"/>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142" w:leader="none"/>
        </w:tabs>
        <w:autoSpaceDE w:val="false"/>
        <w:ind w:left="0" w:right="0" w:hanging="426"/>
        <w:jc w:val="both"/>
        <w:rPr/>
      </w:pPr>
      <w:r>
        <w:rPr>
          <w:rFonts w:eastAsia="Arial" w:cs="Arial" w:ascii="Arial" w:hAnsi="Arial"/>
          <w:sz w:val="22"/>
          <w:szCs w:val="22"/>
        </w:rPr>
        <w:t xml:space="preserve">  </w:t>
      </w:r>
      <w:r>
        <w:rPr>
          <w:rFonts w:cs="Arial" w:ascii="Arial" w:hAnsi="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tabs>
          <w:tab w:val="clear" w:pos="709"/>
          <w:tab w:val="left" w:pos="-142" w:leader="none"/>
        </w:tabs>
        <w:autoSpaceDE w:val="false"/>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 xml:space="preserve">Oddělené soustřeďování komunálního odpadu </w:t>
      </w:r>
    </w:p>
    <w:p>
      <w:pPr>
        <w:pStyle w:val="Normal"/>
        <w:jc w:val="center"/>
        <w:rPr>
          <w:rFonts w:ascii="Arial" w:hAnsi="Arial" w:cs="Arial"/>
          <w:sz w:val="22"/>
          <w:szCs w:val="22"/>
        </w:rPr>
      </w:pPr>
      <w:r>
        <w:rPr>
          <w:rFonts w:cs="Arial" w:ascii="Arial" w:hAnsi="Arial"/>
          <w:sz w:val="22"/>
          <w:szCs w:val="22"/>
        </w:rPr>
      </w:r>
    </w:p>
    <w:p>
      <w:pPr>
        <w:pStyle w:val="Normal"/>
        <w:numPr>
          <w:ilvl w:val="0"/>
          <w:numId w:val="5"/>
        </w:numPr>
        <w:jc w:val="both"/>
        <w:rPr>
          <w:rFonts w:ascii="Arial" w:hAnsi="Arial" w:cs="Arial"/>
          <w:sz w:val="22"/>
          <w:szCs w:val="22"/>
        </w:rPr>
      </w:pPr>
      <w:r>
        <w:rPr>
          <w:rFonts w:cs="Arial" w:ascii="Arial" w:hAnsi="Arial"/>
          <w:sz w:val="22"/>
          <w:szCs w:val="22"/>
        </w:rPr>
        <w:t>Osoby předávající komunální odpad na místa určená obcí jsou povinny odděleně soustřeďovat následující složky:</w:t>
      </w:r>
    </w:p>
    <w:p>
      <w:pPr>
        <w:pStyle w:val="Normal"/>
        <w:rPr>
          <w:rFonts w:ascii="Arial" w:hAnsi="Arial" w:cs="Arial"/>
          <w:i/>
          <w:i/>
          <w:iCs/>
          <w:sz w:val="22"/>
          <w:szCs w:val="22"/>
        </w:rPr>
      </w:pPr>
      <w:r>
        <w:rPr>
          <w:rFonts w:cs="Arial" w:ascii="Arial" w:hAnsi="Arial"/>
          <w:i/>
          <w:iCs/>
          <w:sz w:val="22"/>
          <w:szCs w:val="22"/>
        </w:rPr>
      </w:r>
    </w:p>
    <w:p>
      <w:pPr>
        <w:pStyle w:val="Odstavecseseznamem"/>
        <w:numPr>
          <w:ilvl w:val="0"/>
          <w:numId w:val="6"/>
        </w:numPr>
        <w:autoSpaceDE w:val="false"/>
        <w:spacing w:lineRule="auto" w:line="240" w:before="0" w:after="0"/>
        <w:contextualSpacing/>
        <w:rPr/>
      </w:pPr>
      <w:r>
        <w:rPr>
          <w:rFonts w:cs="Arial" w:ascii="Arial" w:hAnsi="Arial"/>
          <w:bCs/>
          <w:i w:val="false"/>
          <w:iCs w:val="false"/>
          <w:color w:val="000000"/>
          <w:sz w:val="24"/>
          <w:szCs w:val="24"/>
        </w:rPr>
        <w:t>Biologické odpady</w:t>
      </w:r>
      <w:r>
        <w:rPr>
          <w:rFonts w:cs="Arial" w:ascii="Arial" w:hAnsi="Arial"/>
          <w:bCs/>
          <w:i w:val="false"/>
          <w:iCs w:val="false"/>
          <w:sz w:val="24"/>
          <w:szCs w:val="24"/>
        </w:rPr>
        <w:t>,</w:t>
      </w:r>
    </w:p>
    <w:p>
      <w:pPr>
        <w:pStyle w:val="Odstavecseseznamem"/>
        <w:numPr>
          <w:ilvl w:val="0"/>
          <w:numId w:val="6"/>
        </w:numPr>
        <w:tabs>
          <w:tab w:val="clear" w:pos="709"/>
          <w:tab w:val="left" w:pos="567" w:leader="none"/>
        </w:tabs>
        <w:autoSpaceDE w:val="false"/>
        <w:spacing w:lineRule="auto" w:line="240" w:before="0" w:after="0"/>
        <w:contextualSpacing/>
        <w:rPr>
          <w:rFonts w:ascii="Arial" w:hAnsi="Arial" w:cs="Arial"/>
          <w:bCs/>
          <w:i w:val="false"/>
          <w:i w:val="false"/>
          <w:iCs w:val="false"/>
          <w:color w:val="000000"/>
          <w:sz w:val="24"/>
          <w:szCs w:val="24"/>
        </w:rPr>
      </w:pPr>
      <w:r>
        <w:rPr>
          <w:rFonts w:cs="Arial" w:ascii="Arial" w:hAnsi="Arial"/>
          <w:bCs/>
          <w:i w:val="false"/>
          <w:iCs w:val="false"/>
          <w:color w:val="000000"/>
          <w:sz w:val="24"/>
          <w:szCs w:val="24"/>
        </w:rPr>
        <w:t>Papír,</w:t>
      </w:r>
    </w:p>
    <w:p>
      <w:pPr>
        <w:pStyle w:val="Odstavecseseznamem"/>
        <w:numPr>
          <w:ilvl w:val="0"/>
          <w:numId w:val="6"/>
        </w:numPr>
        <w:tabs>
          <w:tab w:val="clear" w:pos="709"/>
          <w:tab w:val="left" w:pos="567" w:leader="none"/>
        </w:tabs>
        <w:autoSpaceDE w:val="false"/>
        <w:spacing w:lineRule="auto" w:line="240" w:before="0" w:after="0"/>
        <w:contextualSpacing/>
        <w:rPr>
          <w:rFonts w:ascii="Arial" w:hAnsi="Arial" w:cs="Arial"/>
          <w:bCs/>
          <w:i w:val="false"/>
          <w:i w:val="false"/>
          <w:iCs w:val="false"/>
          <w:color w:val="000000"/>
          <w:sz w:val="24"/>
          <w:szCs w:val="24"/>
        </w:rPr>
      </w:pPr>
      <w:r>
        <w:rPr>
          <w:rFonts w:cs="Arial" w:ascii="Arial" w:hAnsi="Arial"/>
          <w:bCs/>
          <w:i w:val="false"/>
          <w:iCs w:val="false"/>
          <w:color w:val="000000"/>
          <w:sz w:val="24"/>
          <w:szCs w:val="24"/>
        </w:rPr>
        <w:t>Plasty včetně PET lahví a nápojových kartonů,</w:t>
      </w:r>
    </w:p>
    <w:p>
      <w:pPr>
        <w:pStyle w:val="Odstavecseseznamem"/>
        <w:numPr>
          <w:ilvl w:val="0"/>
          <w:numId w:val="6"/>
        </w:numPr>
        <w:autoSpaceDE w:val="false"/>
        <w:spacing w:lineRule="auto" w:line="240" w:before="0" w:after="0"/>
        <w:contextualSpacing/>
        <w:rPr>
          <w:rFonts w:ascii="Arial" w:hAnsi="Arial" w:cs="Arial"/>
          <w:bCs/>
          <w:i w:val="false"/>
          <w:i w:val="false"/>
          <w:iCs w:val="false"/>
          <w:color w:val="000000"/>
          <w:sz w:val="24"/>
          <w:szCs w:val="24"/>
        </w:rPr>
      </w:pPr>
      <w:r>
        <w:rPr>
          <w:rFonts w:cs="Arial" w:ascii="Arial" w:hAnsi="Arial"/>
          <w:bCs/>
          <w:i w:val="false"/>
          <w:iCs w:val="false"/>
          <w:color w:val="000000"/>
          <w:sz w:val="24"/>
          <w:szCs w:val="24"/>
        </w:rPr>
        <w:t>Sklo,</w:t>
      </w:r>
    </w:p>
    <w:p>
      <w:pPr>
        <w:pStyle w:val="Odstavecseseznamem"/>
        <w:numPr>
          <w:ilvl w:val="0"/>
          <w:numId w:val="6"/>
        </w:numPr>
        <w:autoSpaceDE w:val="false"/>
        <w:spacing w:lineRule="auto" w:line="240" w:before="0" w:after="0"/>
        <w:contextualSpacing/>
        <w:rPr>
          <w:rFonts w:ascii="Arial" w:hAnsi="Arial" w:cs="Arial"/>
          <w:bCs/>
          <w:i w:val="false"/>
          <w:i w:val="false"/>
          <w:iCs w:val="false"/>
          <w:color w:val="000000"/>
          <w:sz w:val="24"/>
          <w:szCs w:val="24"/>
        </w:rPr>
      </w:pPr>
      <w:r>
        <w:rPr>
          <w:rFonts w:cs="Arial" w:ascii="Arial" w:hAnsi="Arial"/>
          <w:bCs/>
          <w:i w:val="false"/>
          <w:iCs w:val="false"/>
          <w:color w:val="000000"/>
          <w:sz w:val="24"/>
          <w:szCs w:val="24"/>
        </w:rPr>
        <w:t>Kovy,</w:t>
      </w:r>
    </w:p>
    <w:p>
      <w:pPr>
        <w:pStyle w:val="Normal"/>
        <w:numPr>
          <w:ilvl w:val="0"/>
          <w:numId w:val="6"/>
        </w:numPr>
        <w:rPr>
          <w:rFonts w:ascii="Arial" w:hAnsi="Arial" w:cs="Arial"/>
          <w:bCs/>
          <w:i w:val="false"/>
          <w:i w:val="false"/>
          <w:iCs w:val="false"/>
          <w:color w:val="000000"/>
          <w:sz w:val="24"/>
          <w:szCs w:val="24"/>
        </w:rPr>
      </w:pPr>
      <w:r>
        <w:rPr>
          <w:rFonts w:cs="Arial" w:ascii="Arial" w:hAnsi="Arial"/>
          <w:bCs/>
          <w:i w:val="false"/>
          <w:iCs w:val="false"/>
          <w:color w:val="000000"/>
          <w:sz w:val="24"/>
          <w:szCs w:val="24"/>
        </w:rPr>
        <w:t>Nebezpečné odpady,</w:t>
      </w:r>
    </w:p>
    <w:p>
      <w:pPr>
        <w:pStyle w:val="Normal"/>
        <w:numPr>
          <w:ilvl w:val="0"/>
          <w:numId w:val="6"/>
        </w:numPr>
        <w:rPr>
          <w:rFonts w:ascii="Arial" w:hAnsi="Arial" w:cs="Arial"/>
          <w:bCs/>
          <w:i w:val="false"/>
          <w:i w:val="false"/>
          <w:iCs w:val="false"/>
          <w:color w:val="000000"/>
          <w:sz w:val="24"/>
          <w:szCs w:val="24"/>
        </w:rPr>
      </w:pPr>
      <w:r>
        <w:rPr>
          <w:rFonts w:cs="Arial" w:ascii="Arial" w:hAnsi="Arial"/>
          <w:bCs/>
          <w:i w:val="false"/>
          <w:iCs w:val="false"/>
          <w:color w:val="000000"/>
          <w:sz w:val="24"/>
          <w:szCs w:val="24"/>
        </w:rPr>
        <w:t>Objemný odpad,</w:t>
      </w:r>
    </w:p>
    <w:p>
      <w:pPr>
        <w:pStyle w:val="Normal"/>
        <w:numPr>
          <w:ilvl w:val="0"/>
          <w:numId w:val="6"/>
        </w:numPr>
        <w:rPr>
          <w:rFonts w:ascii="Arial" w:hAnsi="Arial" w:cs="Arial"/>
          <w:i w:val="false"/>
          <w:i w:val="false"/>
          <w:iCs w:val="false"/>
          <w:sz w:val="24"/>
          <w:szCs w:val="24"/>
        </w:rPr>
      </w:pPr>
      <w:r>
        <w:rPr>
          <w:rFonts w:cs="Arial" w:ascii="Arial" w:hAnsi="Arial"/>
          <w:i w:val="false"/>
          <w:iCs w:val="false"/>
          <w:sz w:val="24"/>
          <w:szCs w:val="24"/>
        </w:rPr>
        <w:t>Jedlé oleje a tuky,</w:t>
      </w:r>
    </w:p>
    <w:p>
      <w:pPr>
        <w:pStyle w:val="Normal"/>
        <w:numPr>
          <w:ilvl w:val="0"/>
          <w:numId w:val="6"/>
        </w:numPr>
        <w:rPr>
          <w:rFonts w:ascii="Arial" w:hAnsi="Arial" w:cs="Arial"/>
          <w:i w:val="false"/>
          <w:i w:val="false"/>
          <w:iCs w:val="false"/>
          <w:sz w:val="24"/>
          <w:szCs w:val="24"/>
        </w:rPr>
      </w:pPr>
      <w:r>
        <w:rPr>
          <w:rFonts w:cs="Arial" w:ascii="Arial" w:hAnsi="Arial"/>
          <w:i w:val="false"/>
          <w:iCs w:val="false"/>
          <w:sz w:val="24"/>
          <w:szCs w:val="24"/>
        </w:rPr>
        <w:t>Textil</w:t>
      </w:r>
    </w:p>
    <w:p>
      <w:pPr>
        <w:pStyle w:val="Normal"/>
        <w:numPr>
          <w:ilvl w:val="0"/>
          <w:numId w:val="6"/>
        </w:numPr>
        <w:rPr>
          <w:rFonts w:ascii="Arial" w:hAnsi="Arial" w:cs="Arial"/>
          <w:i w:val="false"/>
          <w:i w:val="false"/>
          <w:iCs w:val="false"/>
          <w:sz w:val="24"/>
          <w:szCs w:val="24"/>
        </w:rPr>
      </w:pPr>
      <w:r>
        <w:rPr>
          <w:rFonts w:cs="Arial" w:ascii="Arial" w:hAnsi="Arial"/>
          <w:i w:val="false"/>
          <w:iCs w:val="false"/>
          <w:sz w:val="24"/>
          <w:szCs w:val="24"/>
        </w:rPr>
        <w:t>Směsný komunální odpad</w:t>
      </w:r>
    </w:p>
    <w:p>
      <w:pPr>
        <w:pStyle w:val="Normal"/>
        <w:rPr>
          <w:rFonts w:ascii="Arial" w:hAnsi="Arial" w:eastAsia="Arial" w:cs="Arial"/>
          <w:i/>
          <w:i/>
          <w:color w:val="00B0F0"/>
          <w:sz w:val="22"/>
          <w:szCs w:val="22"/>
        </w:rPr>
      </w:pPr>
      <w:r>
        <w:rPr>
          <w:rFonts w:eastAsia="Arial" w:cs="Arial" w:ascii="Arial" w:hAnsi="Arial"/>
          <w:i/>
          <w:color w:val="00B0F0"/>
          <w:sz w:val="22"/>
          <w:szCs w:val="22"/>
        </w:rPr>
        <w:t xml:space="preserve"> </w:t>
      </w:r>
    </w:p>
    <w:p>
      <w:pPr>
        <w:pStyle w:val="Normal"/>
        <w:rPr/>
      </w:pPr>
      <w:r>
        <w:rPr/>
      </w:r>
    </w:p>
    <w:p>
      <w:pPr>
        <w:pStyle w:val="Normal"/>
        <w:rPr>
          <w:rFonts w:ascii="Arial" w:hAnsi="Arial" w:cs="Arial"/>
          <w:i/>
          <w:i/>
          <w:color w:val="00B0F0"/>
          <w:sz w:val="22"/>
          <w:szCs w:val="22"/>
        </w:rPr>
      </w:pPr>
      <w:r>
        <w:rPr>
          <w:rFonts w:cs="Arial" w:ascii="Arial" w:hAnsi="Arial"/>
          <w:i/>
          <w:color w:val="00B0F0"/>
          <w:sz w:val="22"/>
          <w:szCs w:val="22"/>
        </w:rPr>
      </w:r>
    </w:p>
    <w:p>
      <w:pPr>
        <w:pStyle w:val="Odsazentlatextu"/>
        <w:numPr>
          <w:ilvl w:val="0"/>
          <w:numId w:val="5"/>
        </w:numPr>
        <w:rPr>
          <w:rFonts w:ascii="Arial" w:hAnsi="Arial" w:cs="Arial"/>
          <w:sz w:val="22"/>
          <w:szCs w:val="22"/>
        </w:rPr>
      </w:pPr>
      <w:r>
        <w:rPr>
          <w:rFonts w:cs="Arial" w:ascii="Arial" w:hAnsi="Arial"/>
          <w:sz w:val="22"/>
          <w:szCs w:val="22"/>
        </w:rPr>
        <w:t>Směsným komunálním odpadem se rozumí zbylý komunální odpad po stanoveném vytřídění podle odstavce 1 písm. a), b), c), d), e), f), g), h) a i).</w:t>
      </w:r>
    </w:p>
    <w:p>
      <w:pPr>
        <w:pStyle w:val="Odsazentlatextu"/>
        <w:ind w:left="360" w:right="0" w:hanging="0"/>
        <w:rPr>
          <w:rFonts w:ascii="Arial" w:hAnsi="Arial" w:cs="Arial"/>
          <w:sz w:val="22"/>
          <w:szCs w:val="22"/>
        </w:rPr>
      </w:pPr>
      <w:r>
        <w:rPr>
          <w:rFonts w:cs="Arial" w:ascii="Arial" w:hAnsi="Arial"/>
          <w:sz w:val="22"/>
          <w:szCs w:val="22"/>
        </w:rPr>
      </w:r>
    </w:p>
    <w:p>
      <w:pPr>
        <w:pStyle w:val="Odsazentlatextu"/>
        <w:numPr>
          <w:ilvl w:val="0"/>
          <w:numId w:val="5"/>
        </w:numPr>
        <w:rPr/>
      </w:pPr>
      <w:r>
        <w:rPr>
          <w:rFonts w:cs="Arial" w:ascii="Arial" w:hAnsi="Arial"/>
          <w:sz w:val="22"/>
          <w:szCs w:val="22"/>
        </w:rPr>
        <w:t xml:space="preserve">Objemný odpad je takový odpad, který vzhledem ke svým rozměrům nemůže být umístěn do sběrných nádob </w:t>
      </w:r>
      <w:r>
        <w:rPr>
          <w:rFonts w:cs="Arial" w:ascii="Arial" w:hAnsi="Arial"/>
          <w:color w:val="000000"/>
          <w:sz w:val="22"/>
          <w:szCs w:val="22"/>
        </w:rPr>
        <w:t>(</w:t>
      </w:r>
      <w:r>
        <w:rPr>
          <w:rFonts w:cs="Arial" w:ascii="Arial" w:hAnsi="Arial"/>
          <w:i w:val="false"/>
          <w:iCs w:val="false"/>
          <w:color w:val="000000"/>
          <w:sz w:val="22"/>
          <w:szCs w:val="22"/>
        </w:rPr>
        <w:t>např. koberce, matrace, nábytek</w:t>
      </w:r>
      <w:r>
        <w:rPr>
          <w:rFonts w:cs="Arial" w:ascii="Arial" w:hAnsi="Arial"/>
          <w:color w:val="000000"/>
          <w:sz w:val="22"/>
          <w:szCs w:val="22"/>
        </w:rPr>
        <w:t>)</w:t>
      </w:r>
      <w:r>
        <w:rPr>
          <w:rFonts w:cs="Arial" w:ascii="Arial" w:hAnsi="Arial"/>
          <w:sz w:val="22"/>
          <w:szCs w:val="22"/>
        </w:rPr>
        <w:t>.</w:t>
      </w:r>
    </w:p>
    <w:p>
      <w:pPr>
        <w:pStyle w:val="Odsazentlatextu"/>
        <w:ind w:left="360" w:right="0" w:hanging="0"/>
        <w:rPr>
          <w:rFonts w:ascii="Arial" w:hAnsi="Arial" w:cs="Arial"/>
          <w:sz w:val="22"/>
          <w:szCs w:val="22"/>
        </w:rPr>
      </w:pPr>
      <w:r>
        <w:rPr>
          <w:rFonts w:cs="Arial" w:ascii="Arial" w:hAnsi="Arial"/>
          <w:sz w:val="22"/>
          <w:szCs w:val="22"/>
        </w:rPr>
      </w:r>
    </w:p>
    <w:p>
      <w:pPr>
        <w:pStyle w:val="Odsazentlatextu"/>
        <w:ind w:left="720" w:right="0" w:hanging="0"/>
        <w:jc w:val="center"/>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adpis2"/>
        <w:jc w:val="center"/>
        <w:rPr>
          <w:rFonts w:ascii="Arial" w:hAnsi="Arial" w:cs="Arial"/>
          <w:b/>
          <w:b/>
          <w:bCs/>
          <w:sz w:val="22"/>
          <w:szCs w:val="22"/>
          <w:u w:val="none"/>
        </w:rPr>
      </w:pPr>
      <w:r>
        <w:rPr>
          <w:rFonts w:cs="Arial" w:ascii="Arial" w:hAnsi="Arial"/>
          <w:b/>
          <w:bCs/>
          <w:sz w:val="22"/>
          <w:szCs w:val="22"/>
          <w:u w:val="none"/>
        </w:rPr>
        <w:t>Soustřeďování papíru,  plastů,  skla,  kovů,  biologického odpadu,  textilu,  jedlých olejů  a tuků</w:t>
      </w:r>
    </w:p>
    <w:p>
      <w:pPr>
        <w:pStyle w:val="Normal"/>
        <w:tabs>
          <w:tab w:val="clear" w:pos="709"/>
          <w:tab w:val="left" w:pos="927" w:leader="none"/>
        </w:tabs>
        <w:jc w:val="both"/>
        <w:rPr>
          <w:rFonts w:ascii="Arial" w:hAnsi="Arial" w:cs="Arial"/>
          <w:b/>
          <w:b/>
          <w:bCs/>
          <w:sz w:val="22"/>
          <w:szCs w:val="22"/>
          <w:u w:val="single"/>
        </w:rPr>
      </w:pPr>
      <w:r>
        <w:rPr>
          <w:rFonts w:cs="Arial" w:ascii="Arial" w:hAnsi="Arial"/>
          <w:b/>
          <w:bCs/>
          <w:sz w:val="22"/>
          <w:szCs w:val="22"/>
          <w:u w:val="single"/>
        </w:rPr>
      </w:r>
    </w:p>
    <w:p>
      <w:pPr>
        <w:pStyle w:val="Normal"/>
        <w:numPr>
          <w:ilvl w:val="0"/>
          <w:numId w:val="7"/>
        </w:numPr>
        <w:tabs>
          <w:tab w:val="clear" w:pos="709"/>
          <w:tab w:val="left" w:pos="540" w:leader="none"/>
          <w:tab w:val="left" w:pos="927" w:leader="none"/>
        </w:tabs>
        <w:jc w:val="both"/>
        <w:rPr/>
      </w:pPr>
      <w:r>
        <w:rPr>
          <w:rFonts w:cs="Arial" w:ascii="Arial" w:hAnsi="Arial"/>
          <w:sz w:val="22"/>
          <w:szCs w:val="22"/>
        </w:rPr>
        <w:t xml:space="preserve">Papír, plasty, sklo, kovy, biologické odpady, textil, jedlé oleje a tuky se soustřeďují do </w:t>
      </w:r>
      <w:r>
        <w:rPr>
          <w:rFonts w:cs="Arial" w:ascii="Arial" w:hAnsi="Arial"/>
          <w:bCs/>
          <w:sz w:val="22"/>
          <w:szCs w:val="22"/>
        </w:rPr>
        <w:t>zvláštních sběrných nádob</w:t>
      </w:r>
      <w:r>
        <w:rPr>
          <w:rFonts w:cs="Arial" w:ascii="Arial" w:hAnsi="Arial"/>
          <w:sz w:val="22"/>
          <w:szCs w:val="22"/>
        </w:rPr>
        <w:t>, kterými jsou velkoobjemové kontejnery a sběrné plastové kontejnery 120 a 240 litrů.</w:t>
      </w:r>
    </w:p>
    <w:p>
      <w:pPr>
        <w:pStyle w:val="Normal"/>
        <w:rPr>
          <w:rFonts w:ascii="Arial" w:hAnsi="Arial" w:cs="Arial"/>
          <w:sz w:val="22"/>
          <w:szCs w:val="22"/>
        </w:rPr>
      </w:pPr>
      <w:r>
        <w:rPr>
          <w:rFonts w:cs="Arial" w:ascii="Arial" w:hAnsi="Arial"/>
          <w:sz w:val="22"/>
          <w:szCs w:val="22"/>
        </w:rPr>
      </w:r>
    </w:p>
    <w:p>
      <w:pPr>
        <w:pStyle w:val="NormlnIMP"/>
        <w:numPr>
          <w:ilvl w:val="0"/>
          <w:numId w:val="7"/>
        </w:numPr>
        <w:tabs>
          <w:tab w:val="clear" w:pos="709"/>
          <w:tab w:val="left" w:pos="540" w:leader="none"/>
          <w:tab w:val="left" w:pos="927" w:leader="none"/>
        </w:tabs>
        <w:suppressAutoHyphens w:val="false"/>
        <w:overflowPunct w:val="true"/>
        <w:autoSpaceDE w:val="true"/>
        <w:spacing w:lineRule="auto" w:line="240"/>
        <w:ind w:left="0" w:right="0" w:hanging="0"/>
        <w:textAlignment w:val="auto"/>
        <w:rPr>
          <w:rFonts w:ascii="Arial" w:hAnsi="Arial" w:cs="Arial"/>
          <w:sz w:val="22"/>
          <w:szCs w:val="22"/>
        </w:rPr>
      </w:pPr>
      <w:r>
        <w:rPr>
          <w:rFonts w:cs="Arial" w:ascii="Arial" w:hAnsi="Arial"/>
          <w:sz w:val="22"/>
          <w:szCs w:val="22"/>
        </w:rPr>
        <w:t xml:space="preserve">Zvláštní sběrné nádoby jsou umístěny na těchto stanovištích: </w:t>
      </w:r>
    </w:p>
    <w:p>
      <w:pPr>
        <w:pStyle w:val="Normal"/>
        <w:tabs>
          <w:tab w:val="clear" w:pos="709"/>
          <w:tab w:val="left" w:pos="540" w:leader="none"/>
          <w:tab w:val="left" w:pos="927" w:leader="none"/>
        </w:tabs>
        <w:ind w:left="360" w:right="0" w:hanging="0"/>
        <w:jc w:val="both"/>
        <w:rPr>
          <w:rFonts w:ascii="Arial" w:hAnsi="Arial" w:cs="Arial"/>
          <w:i w:val="false"/>
          <w:i w:val="false"/>
          <w:iCs w:val="false"/>
          <w:color w:val="000000"/>
          <w:sz w:val="22"/>
          <w:szCs w:val="22"/>
        </w:rPr>
      </w:pPr>
      <w:r>
        <w:rPr>
          <w:rFonts w:cs="Arial" w:ascii="Arial" w:hAnsi="Arial"/>
          <w:i w:val="false"/>
          <w:iCs w:val="false"/>
          <w:color w:val="000000"/>
          <w:sz w:val="22"/>
          <w:szCs w:val="22"/>
        </w:rPr>
        <w:t>Sběrné nádoby na papír, sklo, plasty včetně PET lahví, jedlé oleje a tuky, biologické odpady, kovy a textil jsou umístěny v odpadovém hnízdě ve středu obce.</w:t>
      </w:r>
    </w:p>
    <w:p>
      <w:pPr>
        <w:pStyle w:val="Normal"/>
        <w:tabs>
          <w:tab w:val="clear" w:pos="709"/>
          <w:tab w:val="left" w:pos="540" w:leader="none"/>
          <w:tab w:val="left" w:pos="927" w:leader="none"/>
        </w:tabs>
        <w:ind w:left="360" w:right="0" w:hanging="0"/>
        <w:jc w:val="both"/>
        <w:rPr>
          <w:rFonts w:ascii="Arial" w:hAnsi="Arial" w:cs="Arial"/>
          <w:i w:val="false"/>
          <w:i w:val="false"/>
          <w:iCs w:val="false"/>
          <w:color w:val="000000"/>
          <w:sz w:val="22"/>
          <w:szCs w:val="22"/>
        </w:rPr>
      </w:pPr>
      <w:r>
        <w:rPr>
          <w:rFonts w:cs="Arial" w:ascii="Arial" w:hAnsi="Arial"/>
          <w:i w:val="false"/>
          <w:iCs w:val="false"/>
          <w:color w:val="000000"/>
          <w:sz w:val="22"/>
          <w:szCs w:val="22"/>
        </w:rPr>
        <w:t>Další sběrné nádoby na plasty, papír a sklo jsou umístěny na stanovištích, jejichž seznam je zveřejněn na internetových stránkách obce.</w:t>
      </w:r>
    </w:p>
    <w:p>
      <w:pPr>
        <w:pStyle w:val="Normal"/>
        <w:tabs>
          <w:tab w:val="clear" w:pos="709"/>
          <w:tab w:val="left" w:pos="540" w:leader="none"/>
          <w:tab w:val="left" w:pos="927" w:leader="none"/>
        </w:tabs>
        <w:ind w:left="360" w:right="0" w:hanging="0"/>
        <w:jc w:val="both"/>
        <w:rPr>
          <w:rFonts w:ascii="Arial" w:hAnsi="Arial" w:cs="Arial"/>
          <w:i/>
          <w:i/>
          <w:iCs/>
          <w:color w:val="00B0F0"/>
          <w:sz w:val="22"/>
          <w:szCs w:val="22"/>
        </w:rPr>
      </w:pPr>
      <w:r>
        <w:rPr>
          <w:rFonts w:cs="Arial" w:ascii="Arial" w:hAnsi="Arial"/>
          <w:i/>
          <w:iCs/>
          <w:color w:val="00B0F0"/>
          <w:sz w:val="22"/>
          <w:szCs w:val="22"/>
        </w:rPr>
      </w:r>
    </w:p>
    <w:p>
      <w:pPr>
        <w:pStyle w:val="Normal"/>
        <w:jc w:val="both"/>
        <w:rPr>
          <w:rFonts w:ascii="Arial" w:hAnsi="Arial" w:cs="Arial"/>
          <w:i/>
          <w:i/>
          <w:iCs/>
          <w:color w:val="00B0F0"/>
          <w:sz w:val="22"/>
          <w:szCs w:val="22"/>
        </w:rPr>
      </w:pPr>
      <w:r>
        <w:rPr>
          <w:rFonts w:cs="Arial" w:ascii="Arial" w:hAnsi="Arial"/>
          <w:i/>
          <w:iCs/>
          <w:color w:val="00B0F0"/>
          <w:sz w:val="22"/>
          <w:szCs w:val="22"/>
        </w:rPr>
      </w:r>
    </w:p>
    <w:p>
      <w:pPr>
        <w:pStyle w:val="NormlnIMP"/>
        <w:numPr>
          <w:ilvl w:val="0"/>
          <w:numId w:val="7"/>
        </w:numPr>
        <w:tabs>
          <w:tab w:val="clear" w:pos="709"/>
          <w:tab w:val="left" w:pos="540" w:leader="none"/>
          <w:tab w:val="left" w:pos="927" w:leader="none"/>
        </w:tabs>
        <w:suppressAutoHyphens w:val="false"/>
        <w:overflowPunct w:val="true"/>
        <w:autoSpaceDE w:val="true"/>
        <w:spacing w:lineRule="auto" w:line="240"/>
        <w:ind w:left="0" w:right="0" w:hanging="0"/>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jc w:val="both"/>
        <w:rPr>
          <w:rFonts w:ascii="Arial" w:hAnsi="Arial" w:cs="Arial"/>
          <w:sz w:val="22"/>
          <w:szCs w:val="22"/>
        </w:rPr>
      </w:pPr>
      <w:r>
        <w:rPr>
          <w:rFonts w:cs="Arial" w:ascii="Arial" w:hAnsi="Arial"/>
          <w:sz w:val="22"/>
          <w:szCs w:val="22"/>
        </w:rPr>
      </w:r>
    </w:p>
    <w:p>
      <w:pPr>
        <w:pStyle w:val="Odstavecseseznamem"/>
        <w:numPr>
          <w:ilvl w:val="0"/>
          <w:numId w:val="0"/>
        </w:numPr>
        <w:autoSpaceDE w:val="false"/>
        <w:spacing w:lineRule="auto" w:line="240" w:before="0" w:after="0"/>
        <w:ind w:left="720" w:right="0" w:hanging="0"/>
        <w:contextualSpacing/>
        <w:rPr/>
      </w:pPr>
      <w:r>
        <w:rPr>
          <w:rFonts w:eastAsia="Arial" w:cs="Arial" w:ascii="Arial" w:hAnsi="Arial"/>
          <w:bCs/>
          <w:i w:val="false"/>
          <w:iCs w:val="false"/>
          <w:color w:val="000000"/>
          <w:sz w:val="24"/>
          <w:szCs w:val="24"/>
        </w:rPr>
        <w:t xml:space="preserve">      </w:t>
      </w:r>
      <w:r>
        <w:rPr>
          <w:rFonts w:cs="Arial" w:ascii="Arial" w:hAnsi="Arial"/>
          <w:bCs/>
          <w:i w:val="false"/>
          <w:iCs w:val="false"/>
          <w:color w:val="000000"/>
          <w:sz w:val="24"/>
          <w:szCs w:val="24"/>
        </w:rPr>
        <w:t>a)  Biologické odpady : velkoobjemový kontejner, barva HNĚDÁ,</w:t>
      </w:r>
    </w:p>
    <w:p>
      <w:pPr>
        <w:pStyle w:val="Odstavecseseznamem"/>
        <w:numPr>
          <w:ilvl w:val="0"/>
          <w:numId w:val="0"/>
        </w:numPr>
        <w:spacing w:lineRule="auto" w:line="240" w:before="0" w:after="0"/>
        <w:ind w:left="720" w:right="0" w:hanging="0"/>
        <w:contextualSpacing/>
        <w:rPr/>
      </w:pPr>
      <w:r>
        <w:rPr>
          <w:rFonts w:eastAsia="Arial" w:cs="Arial" w:ascii="Arial" w:hAnsi="Arial"/>
          <w:bCs/>
          <w:i w:val="false"/>
          <w:iCs w:val="false"/>
          <w:color w:val="000000"/>
        </w:rPr>
        <w:t xml:space="preserve">      </w:t>
      </w:r>
      <w:r>
        <w:rPr>
          <w:rFonts w:cs="Arial" w:ascii="Arial" w:hAnsi="Arial"/>
          <w:bCs/>
          <w:i w:val="false"/>
          <w:iCs w:val="false"/>
          <w:color w:val="000000"/>
        </w:rPr>
        <w:t>b)  Papír : velkoobjemový kontejner, barva MODRÁ,</w:t>
      </w:r>
    </w:p>
    <w:p>
      <w:pPr>
        <w:pStyle w:val="Odstavecseseznamem"/>
        <w:numPr>
          <w:ilvl w:val="0"/>
          <w:numId w:val="0"/>
        </w:numPr>
        <w:spacing w:lineRule="auto" w:line="240" w:before="0" w:after="0"/>
        <w:ind w:left="720" w:right="0" w:hanging="0"/>
        <w:contextualSpacing/>
        <w:rPr/>
      </w:pPr>
      <w:r>
        <w:rPr>
          <w:rFonts w:eastAsia="Arial" w:cs="Arial" w:ascii="Arial" w:hAnsi="Arial"/>
          <w:bCs/>
          <w:i w:val="false"/>
          <w:iCs w:val="false"/>
          <w:color w:val="000000"/>
        </w:rPr>
        <w:t xml:space="preserve">      </w:t>
      </w:r>
      <w:r>
        <w:rPr>
          <w:rFonts w:cs="Arial" w:ascii="Arial" w:hAnsi="Arial"/>
          <w:bCs/>
          <w:i w:val="false"/>
          <w:iCs w:val="false"/>
          <w:color w:val="000000"/>
        </w:rPr>
        <w:t>c)  Plasty, PET lahve, nápojové kartony : velkoobjemový kontejner, barva                            ŽLUTÁ</w:t>
      </w:r>
      <w:r>
        <w:rPr>
          <w:rFonts w:cs="Arial" w:ascii="Arial" w:hAnsi="Arial"/>
          <w:bCs/>
          <w:i w:val="false"/>
          <w:iCs w:val="false"/>
        </w:rPr>
        <w:t>,</w:t>
      </w:r>
    </w:p>
    <w:p>
      <w:pPr>
        <w:pStyle w:val="Odstavecseseznamem"/>
        <w:numPr>
          <w:ilvl w:val="0"/>
          <w:numId w:val="0"/>
        </w:numPr>
        <w:spacing w:lineRule="auto" w:line="240" w:before="0" w:after="0"/>
        <w:ind w:left="720" w:right="0" w:hanging="0"/>
        <w:contextualSpacing/>
        <w:rPr/>
      </w:pPr>
      <w:r>
        <w:rPr>
          <w:rFonts w:eastAsia="Arial" w:cs="Arial" w:ascii="Arial" w:hAnsi="Arial"/>
          <w:bCs/>
          <w:i w:val="false"/>
          <w:iCs w:val="false"/>
          <w:color w:val="000000"/>
        </w:rPr>
        <w:t xml:space="preserve">      </w:t>
      </w:r>
      <w:r>
        <w:rPr>
          <w:rFonts w:cs="Arial" w:ascii="Arial" w:hAnsi="Arial"/>
          <w:bCs/>
          <w:i w:val="false"/>
          <w:iCs w:val="false"/>
          <w:color w:val="000000"/>
        </w:rPr>
        <w:t>d)  Sklo : velkoobjemové kontejnery s nápisem SKLO, barva BÍLÁ a ZELENÁ,</w:t>
      </w:r>
    </w:p>
    <w:p>
      <w:pPr>
        <w:pStyle w:val="Odstavecseseznamem"/>
        <w:numPr>
          <w:ilvl w:val="0"/>
          <w:numId w:val="0"/>
        </w:numPr>
        <w:spacing w:lineRule="auto" w:line="240" w:before="0" w:after="0"/>
        <w:ind w:left="720" w:right="0" w:hanging="0"/>
        <w:contextualSpacing/>
        <w:rPr/>
      </w:pPr>
      <w:r>
        <w:rPr>
          <w:rFonts w:eastAsia="Arial" w:cs="Arial" w:ascii="Arial" w:hAnsi="Arial"/>
          <w:bCs/>
          <w:i w:val="false"/>
          <w:iCs w:val="false"/>
          <w:color w:val="000000"/>
        </w:rPr>
        <w:t xml:space="preserve">      </w:t>
      </w:r>
      <w:r>
        <w:rPr>
          <w:rFonts w:cs="Arial" w:ascii="Arial" w:hAnsi="Arial"/>
          <w:bCs/>
          <w:i w:val="false"/>
          <w:iCs w:val="false"/>
          <w:color w:val="000000"/>
        </w:rPr>
        <w:t>e)  Kovy : velkoobjemový kontejner s nápisem KOVY, barva ŠEDÁ,</w:t>
      </w:r>
    </w:p>
    <w:p>
      <w:pPr>
        <w:pStyle w:val="Normal"/>
        <w:numPr>
          <w:ilvl w:val="0"/>
          <w:numId w:val="0"/>
        </w:numPr>
        <w:ind w:left="1080" w:right="0" w:hanging="0"/>
        <w:rPr/>
      </w:pPr>
      <w:r>
        <w:rPr>
          <w:rFonts w:eastAsia="Arial" w:cs="Arial" w:ascii="Arial" w:hAnsi="Arial"/>
          <w:i w:val="false"/>
          <w:iCs w:val="false"/>
        </w:rPr>
        <w:t xml:space="preserve"> </w:t>
      </w:r>
      <w:r>
        <w:rPr>
          <w:rFonts w:cs="Arial" w:ascii="Arial" w:hAnsi="Arial"/>
          <w:i w:val="false"/>
          <w:iCs w:val="false"/>
        </w:rPr>
        <w:t>f)  Jedlé oleje a tuky : sběrná nádoba 240 l, barva SVĚTLÁ HNĚDÁ,</w:t>
      </w:r>
    </w:p>
    <w:p>
      <w:pPr>
        <w:pStyle w:val="Normal"/>
        <w:numPr>
          <w:ilvl w:val="0"/>
          <w:numId w:val="0"/>
        </w:numPr>
        <w:ind w:left="1080" w:right="0" w:hanging="0"/>
        <w:rPr/>
      </w:pPr>
      <w:r>
        <w:rPr>
          <w:rFonts w:eastAsia="Arial" w:cs="Arial" w:ascii="Arial" w:hAnsi="Arial"/>
          <w:i w:val="false"/>
          <w:iCs w:val="false"/>
        </w:rPr>
        <w:t xml:space="preserve"> </w:t>
      </w:r>
      <w:r>
        <w:rPr>
          <w:rFonts w:cs="Arial" w:ascii="Arial" w:hAnsi="Arial"/>
          <w:i w:val="false"/>
          <w:iCs w:val="false"/>
        </w:rPr>
        <w:t>g) Textil : sběrná nádoba 120 l, barva ČERNÁ</w:t>
      </w:r>
    </w:p>
    <w:p>
      <w:pPr>
        <w:pStyle w:val="Normal"/>
        <w:ind w:left="360" w:right="0" w:hanging="0"/>
        <w:rPr>
          <w:rFonts w:ascii="Arial" w:hAnsi="Arial" w:cs="Arial"/>
          <w:i/>
          <w:i/>
          <w:iCs/>
          <w:sz w:val="22"/>
          <w:szCs w:val="22"/>
        </w:rPr>
      </w:pPr>
      <w:r>
        <w:rPr>
          <w:rFonts w:cs="Arial" w:ascii="Arial" w:hAnsi="Arial"/>
          <w:i/>
          <w:iCs/>
          <w:sz w:val="22"/>
          <w:szCs w:val="22"/>
        </w:rPr>
      </w:r>
    </w:p>
    <w:p>
      <w:pPr>
        <w:pStyle w:val="Normal"/>
        <w:numPr>
          <w:ilvl w:val="0"/>
          <w:numId w:val="7"/>
        </w:numPr>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jc w:val="both"/>
        <w:rPr>
          <w:rFonts w:ascii="Arial" w:hAnsi="Arial" w:cs="Arial"/>
          <w:sz w:val="22"/>
          <w:szCs w:val="22"/>
        </w:rPr>
      </w:pPr>
      <w:r>
        <w:rPr>
          <w:rFonts w:cs="Arial" w:ascii="Arial" w:hAnsi="Arial"/>
          <w:sz w:val="22"/>
          <w:szCs w:val="22"/>
        </w:rPr>
      </w:r>
    </w:p>
    <w:p>
      <w:pPr>
        <w:pStyle w:val="Normal"/>
        <w:numPr>
          <w:ilvl w:val="0"/>
          <w:numId w:val="7"/>
        </w:numPr>
        <w:jc w:val="both"/>
        <w:rPr>
          <w:rFonts w:ascii="Arial" w:hAnsi="Arial" w:cs="Arial"/>
          <w:sz w:val="22"/>
          <w:szCs w:val="22"/>
        </w:rPr>
      </w:pPr>
      <w:r>
        <w:rPr>
          <w:rFonts w:cs="Arial" w:ascii="Arial" w:hAnsi="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Normal"/>
        <w:numPr>
          <w:ilvl w:val="0"/>
          <w:numId w:val="0"/>
        </w:numPr>
        <w:ind w:left="360" w:right="0" w:hanging="0"/>
        <w:jc w:val="both"/>
        <w:rPr>
          <w:rFonts w:ascii="Arial" w:hAnsi="Arial" w:cs="Arial"/>
          <w:sz w:val="22"/>
          <w:szCs w:val="22"/>
        </w:rPr>
      </w:pPr>
      <w:r>
        <w:rPr>
          <w:rFonts w:cs="Arial" w:ascii="Arial" w:hAnsi="Arial"/>
          <w:sz w:val="22"/>
          <w:szCs w:val="22"/>
        </w:rPr>
      </w:r>
    </w:p>
    <w:p>
      <w:pPr>
        <w:pStyle w:val="Default"/>
        <w:ind w:left="360" w:right="0" w:hanging="0"/>
        <w:rPr>
          <w:rFonts w:ascii="Arial" w:hAnsi="Arial" w:cs="Arial"/>
          <w:sz w:val="22"/>
          <w:szCs w:val="22"/>
        </w:rPr>
      </w:pPr>
      <w:r>
        <w:rPr>
          <w:rFonts w:cs="Arial"/>
          <w:sz w:val="22"/>
          <w:szCs w:val="22"/>
        </w:rPr>
      </w:r>
    </w:p>
    <w:p>
      <w:pPr>
        <w:pStyle w:val="Default"/>
        <w:ind w:left="360" w:right="0" w:hanging="0"/>
        <w:rPr>
          <w:rFonts w:cs="Arial"/>
          <w:sz w:val="22"/>
          <w:szCs w:val="22"/>
        </w:rPr>
      </w:pPr>
      <w:r>
        <w:rPr>
          <w:rFonts w:cs="Arial"/>
          <w:sz w:val="22"/>
          <w:szCs w:val="22"/>
        </w:rPr>
      </w:r>
    </w:p>
    <w:p>
      <w:pPr>
        <w:pStyle w:val="Nadpis2"/>
        <w:jc w:val="center"/>
        <w:rPr>
          <w:rFonts w:ascii="Arial" w:hAnsi="Arial" w:cs="Arial"/>
          <w:b/>
          <w:b/>
          <w:bCs/>
          <w:sz w:val="22"/>
          <w:szCs w:val="22"/>
          <w:u w:val="none"/>
        </w:rPr>
      </w:pPr>
      <w:r>
        <w:rPr>
          <w:rFonts w:cs="Arial" w:ascii="Arial" w:hAnsi="Arial"/>
          <w:b/>
          <w:bCs/>
          <w:sz w:val="22"/>
          <w:szCs w:val="22"/>
          <w:u w:val="none"/>
        </w:rPr>
        <w:t>Čl. 4</w:t>
      </w:r>
    </w:p>
    <w:p>
      <w:pPr>
        <w:pStyle w:val="Nadpis2"/>
        <w:jc w:val="center"/>
        <w:rPr/>
      </w:pPr>
      <w:r>
        <w:rPr>
          <w:rFonts w:eastAsia="Arial" w:cs="Arial" w:ascii="Arial" w:hAnsi="Arial"/>
          <w:b/>
          <w:bCs/>
          <w:sz w:val="22"/>
          <w:szCs w:val="22"/>
          <w:u w:val="none"/>
        </w:rPr>
        <w:t xml:space="preserve"> </w:t>
      </w:r>
      <w:r>
        <w:rPr>
          <w:rFonts w:cs="Arial" w:ascii="Arial" w:hAnsi="Arial"/>
          <w:b/>
          <w:bCs/>
          <w:sz w:val="22"/>
          <w:szCs w:val="22"/>
          <w:u w:val="none"/>
        </w:rPr>
        <w:t>Svoz nebezpečných složek komunálního odpadu</w:t>
      </w:r>
    </w:p>
    <w:p>
      <w:pPr>
        <w:pStyle w:val="Normal"/>
        <w:ind w:left="360" w:right="0" w:hanging="0"/>
        <w:jc w:val="center"/>
        <w:rPr>
          <w:rFonts w:ascii="Arial" w:hAnsi="Arial" w:cs="Arial"/>
          <w:b/>
          <w:b/>
          <w:bCs/>
          <w:sz w:val="22"/>
          <w:szCs w:val="22"/>
          <w:u w:val="none"/>
        </w:rPr>
      </w:pPr>
      <w:r>
        <w:rPr>
          <w:rFonts w:cs="Arial" w:ascii="Arial" w:hAnsi="Arial"/>
          <w:b/>
          <w:bCs/>
          <w:sz w:val="22"/>
          <w:szCs w:val="22"/>
          <w:u w:val="none"/>
        </w:rPr>
      </w:r>
    </w:p>
    <w:p>
      <w:pPr>
        <w:pStyle w:val="Normal"/>
        <w:numPr>
          <w:ilvl w:val="0"/>
          <w:numId w:val="8"/>
        </w:numPr>
        <w:jc w:val="both"/>
        <w:rPr/>
      </w:pPr>
      <w:r>
        <w:rPr>
          <w:rFonts w:cs="Arial" w:ascii="Arial" w:hAnsi="Arial"/>
          <w:sz w:val="22"/>
          <w:szCs w:val="22"/>
        </w:rPr>
        <w:t xml:space="preserve">Svoz nebezpečných složek komunálního odpadu je zajišťován </w:t>
      </w:r>
      <w:r>
        <w:rPr>
          <w:rFonts w:cs="Arial" w:ascii="Arial" w:hAnsi="Arial"/>
          <w:iCs/>
          <w:sz w:val="22"/>
          <w:szCs w:val="22"/>
        </w:rPr>
        <w:t>minimálně dvakrát ročně</w:t>
      </w:r>
      <w:r>
        <w:rPr>
          <w:rFonts w:cs="Arial" w:ascii="Arial" w:hAnsi="Arial"/>
          <w:sz w:val="22"/>
          <w:szCs w:val="22"/>
        </w:rPr>
        <w:t xml:space="preserve"> jejich odebíráním na předem stanoveném místě, zpravidla u odpadového hnízda ve středu obce přímo do zvláštních sběrných nádob k tomuto určených. Informace o svozu jsou zveřejňovány </w:t>
      </w:r>
      <w:r>
        <w:rPr>
          <w:rFonts w:cs="Arial" w:ascii="Arial" w:hAnsi="Arial"/>
          <w:i w:val="false"/>
          <w:iCs w:val="false"/>
          <w:color w:val="000000"/>
          <w:sz w:val="22"/>
          <w:szCs w:val="22"/>
        </w:rPr>
        <w:t>na úřední desce obecního úřadu, výlepových plochách, na internetových stránkách obce.</w:t>
      </w:r>
    </w:p>
    <w:p>
      <w:pPr>
        <w:pStyle w:val="Normal"/>
        <w:ind w:left="360" w:right="0" w:hanging="0"/>
        <w:jc w:val="both"/>
        <w:rPr>
          <w:rFonts w:ascii="Arial" w:hAnsi="Arial" w:cs="Arial"/>
          <w:sz w:val="22"/>
          <w:szCs w:val="22"/>
        </w:rPr>
      </w:pPr>
      <w:r>
        <w:rPr>
          <w:rFonts w:cs="Arial" w:ascii="Arial" w:hAnsi="Arial"/>
          <w:sz w:val="22"/>
          <w:szCs w:val="22"/>
        </w:rPr>
      </w:r>
    </w:p>
    <w:p>
      <w:pPr>
        <w:pStyle w:val="Normal"/>
        <w:numPr>
          <w:ilvl w:val="0"/>
          <w:numId w:val="8"/>
        </w:numPr>
        <w:jc w:val="both"/>
        <w:rPr>
          <w:rFonts w:ascii="Arial" w:hAnsi="Arial" w:cs="Arial"/>
          <w:sz w:val="22"/>
          <w:szCs w:val="22"/>
        </w:rPr>
      </w:pPr>
      <w:r>
        <w:rPr>
          <w:rFonts w:cs="Arial" w:ascii="Arial" w:hAnsi="Arial"/>
          <w:sz w:val="22"/>
          <w:szCs w:val="22"/>
        </w:rPr>
        <w:t>Soustřeďování nebezpečných složek komunálního odpadu podléhá požadavkům stanoveným v čl. 3 odst. 4 a 5.</w:t>
      </w:r>
    </w:p>
    <w:p>
      <w:pPr>
        <w:pStyle w:val="Normal"/>
        <w:numPr>
          <w:ilvl w:val="0"/>
          <w:numId w:val="0"/>
        </w:numPr>
        <w:ind w:left="360" w:right="0" w:hanging="0"/>
        <w:jc w:val="both"/>
        <w:rPr>
          <w:rFonts w:ascii="Arial" w:hAnsi="Arial" w:cs="Arial"/>
          <w:sz w:val="22"/>
          <w:szCs w:val="22"/>
        </w:rPr>
      </w:pPr>
      <w:r>
        <w:rPr>
          <w:rFonts w:cs="Arial" w:ascii="Arial" w:hAnsi="Arial"/>
          <w:sz w:val="22"/>
          <w:szCs w:val="22"/>
        </w:rPr>
      </w:r>
    </w:p>
    <w:p>
      <w:pPr>
        <w:pStyle w:val="Normal"/>
        <w:numPr>
          <w:ilvl w:val="0"/>
          <w:numId w:val="0"/>
        </w:numPr>
        <w:ind w:left="360" w:right="0" w:hanging="0"/>
        <w:jc w:val="both"/>
        <w:rPr>
          <w:rFonts w:ascii="Arial" w:hAnsi="Arial" w:cs="Arial"/>
          <w:sz w:val="22"/>
          <w:szCs w:val="22"/>
        </w:rPr>
      </w:pPr>
      <w:r>
        <w:rPr>
          <w:rFonts w:cs="Arial" w:ascii="Arial" w:hAnsi="Arial"/>
          <w:sz w:val="22"/>
          <w:szCs w:val="22"/>
        </w:rPr>
      </w:r>
    </w:p>
    <w:p>
      <w:pPr>
        <w:pStyle w:val="Normal"/>
        <w:numPr>
          <w:ilvl w:val="0"/>
          <w:numId w:val="0"/>
        </w:numPr>
        <w:ind w:left="360" w:right="0" w:hanging="0"/>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ind w:left="360" w:right="0" w:hanging="0"/>
        <w:jc w:val="both"/>
        <w:rPr>
          <w:rFonts w:ascii="Arial" w:hAnsi="Arial" w:eastAsia="Arial" w:cs="Arial"/>
          <w:i/>
          <w:i/>
          <w:color w:val="00B0F0"/>
          <w:sz w:val="22"/>
          <w:szCs w:val="22"/>
        </w:rPr>
      </w:pPr>
      <w:r>
        <w:rPr>
          <w:rFonts w:eastAsia="Arial" w:cs="Arial" w:ascii="Arial" w:hAnsi="Arial"/>
          <w:i/>
          <w:color w:val="00B0F0"/>
          <w:sz w:val="22"/>
          <w:szCs w:val="22"/>
        </w:rPr>
        <w:t xml:space="preserve">   </w:t>
      </w:r>
    </w:p>
    <w:p>
      <w:pPr>
        <w:pStyle w:val="Normal"/>
        <w:rPr>
          <w:rFonts w:ascii="Arial" w:hAnsi="Arial" w:cs="Arial"/>
          <w:b/>
          <w:b/>
          <w:i/>
          <w:i/>
          <w:color w:val="00B0F0"/>
          <w:sz w:val="22"/>
          <w:szCs w:val="22"/>
        </w:rPr>
      </w:pPr>
      <w:r>
        <w:rPr>
          <w:rFonts w:cs="Arial" w:ascii="Arial" w:hAnsi="Arial"/>
          <w:b/>
          <w:i/>
          <w:color w:val="00B0F0"/>
          <w:sz w:val="22"/>
          <w:szCs w:val="22"/>
        </w:rPr>
      </w:r>
    </w:p>
    <w:p>
      <w:pPr>
        <w:pStyle w:val="Normal"/>
        <w:jc w:val="center"/>
        <w:rPr>
          <w:rFonts w:ascii="Arial" w:hAnsi="Arial" w:cs="Arial"/>
          <w:b/>
          <w:b/>
          <w:sz w:val="22"/>
          <w:szCs w:val="22"/>
        </w:rPr>
      </w:pPr>
      <w:r>
        <w:rPr>
          <w:rFonts w:cs="Arial" w:ascii="Arial" w:hAnsi="Arial"/>
          <w:b/>
          <w:sz w:val="22"/>
          <w:szCs w:val="22"/>
        </w:rPr>
        <w:t>Čl. 5</w:t>
      </w:r>
    </w:p>
    <w:p>
      <w:pPr>
        <w:pStyle w:val="Normal"/>
        <w:jc w:val="center"/>
        <w:rPr/>
      </w:pPr>
      <w:r>
        <w:rPr>
          <w:rFonts w:eastAsia="Arial" w:cs="Arial" w:ascii="Arial" w:hAnsi="Arial"/>
          <w:b/>
          <w:sz w:val="22"/>
          <w:szCs w:val="22"/>
        </w:rPr>
        <w:t xml:space="preserve"> </w:t>
      </w:r>
      <w:r>
        <w:rPr>
          <w:rFonts w:cs="Arial" w:ascii="Arial" w:hAnsi="Arial"/>
          <w:b/>
          <w:sz w:val="22"/>
          <w:szCs w:val="22"/>
        </w:rPr>
        <w:t>Svoz objemného odpadu</w:t>
      </w:r>
    </w:p>
    <w:p>
      <w:pPr>
        <w:pStyle w:val="Normal"/>
        <w:ind w:left="360" w:right="0" w:hanging="0"/>
        <w:jc w:val="center"/>
        <w:rPr>
          <w:rFonts w:ascii="Arial" w:hAnsi="Arial" w:cs="Arial"/>
          <w:b/>
          <w:b/>
          <w:sz w:val="22"/>
          <w:szCs w:val="22"/>
          <w:u w:val="single"/>
        </w:rPr>
      </w:pPr>
      <w:r>
        <w:rPr>
          <w:rFonts w:cs="Arial" w:ascii="Arial" w:hAnsi="Arial"/>
          <w:b/>
          <w:sz w:val="22"/>
          <w:szCs w:val="22"/>
          <w:u w:val="single"/>
        </w:rPr>
      </w:r>
    </w:p>
    <w:p>
      <w:pPr>
        <w:pStyle w:val="Normal"/>
        <w:numPr>
          <w:ilvl w:val="0"/>
          <w:numId w:val="9"/>
        </w:numPr>
        <w:jc w:val="both"/>
        <w:rPr/>
      </w:pPr>
      <w:r>
        <w:rPr>
          <w:rFonts w:cs="Arial" w:ascii="Arial" w:hAnsi="Arial"/>
          <w:sz w:val="22"/>
          <w:szCs w:val="22"/>
        </w:rPr>
        <w:t xml:space="preserve">Svoz objemného odpadu je zajišťován minimálně jednou ročně jeho odebíráním na předem stanoveném místě, zpravidla u odpadového hnízda ve středu obce přímo do zvláštních sběrných nádob k tomuto účelu určených. Informace o svozu jsou zveřejňovány </w:t>
      </w:r>
      <w:r>
        <w:rPr>
          <w:rFonts w:cs="Arial" w:ascii="Arial" w:hAnsi="Arial"/>
          <w:i w:val="false"/>
          <w:iCs w:val="false"/>
          <w:color w:val="000000"/>
          <w:sz w:val="22"/>
          <w:szCs w:val="22"/>
        </w:rPr>
        <w:t>na úřední desce obecního úřadu, výlepových plochách, na internetových stránkách obce.</w:t>
      </w:r>
    </w:p>
    <w:p>
      <w:pPr>
        <w:pStyle w:val="Normal"/>
        <w:jc w:val="both"/>
        <w:rPr>
          <w:rFonts w:ascii="Arial" w:hAnsi="Arial" w:cs="Arial"/>
          <w:sz w:val="22"/>
          <w:szCs w:val="22"/>
        </w:rPr>
      </w:pPr>
      <w:r>
        <w:rPr>
          <w:rFonts w:cs="Arial" w:ascii="Arial" w:hAnsi="Arial"/>
          <w:sz w:val="22"/>
          <w:szCs w:val="22"/>
        </w:rPr>
      </w:r>
    </w:p>
    <w:p>
      <w:pPr>
        <w:pStyle w:val="NormlnIMP"/>
        <w:suppressAutoHyphens w:val="false"/>
        <w:overflowPunct w:val="true"/>
        <w:autoSpaceDE w:val="true"/>
        <w:spacing w:lineRule="auto" w:line="240"/>
        <w:textAlignment w:val="auto"/>
        <w:rPr>
          <w:rFonts w:ascii="Arial" w:hAnsi="Arial" w:cs="Arial"/>
          <w:color w:val="00B0F0"/>
          <w:sz w:val="22"/>
          <w:szCs w:val="22"/>
        </w:rPr>
      </w:pPr>
      <w:r>
        <w:rPr>
          <w:rFonts w:cs="Arial" w:ascii="Arial" w:hAnsi="Arial"/>
          <w:color w:val="00B0F0"/>
          <w:sz w:val="22"/>
          <w:szCs w:val="22"/>
        </w:rPr>
      </w:r>
    </w:p>
    <w:p>
      <w:pPr>
        <w:pStyle w:val="Normal"/>
        <w:numPr>
          <w:ilvl w:val="0"/>
          <w:numId w:val="9"/>
        </w:numPr>
        <w:tabs>
          <w:tab w:val="clear" w:pos="709"/>
          <w:tab w:val="left" w:pos="567" w:leader="none"/>
        </w:tabs>
        <w:ind w:left="0" w:right="0" w:hanging="0"/>
        <w:jc w:val="both"/>
        <w:rPr>
          <w:rFonts w:ascii="Arial" w:hAnsi="Arial" w:cs="Arial"/>
          <w:sz w:val="22"/>
          <w:szCs w:val="22"/>
        </w:rPr>
      </w:pPr>
      <w:r>
        <w:rPr>
          <w:rFonts w:cs="Arial" w:ascii="Arial" w:hAnsi="Arial"/>
          <w:sz w:val="22"/>
          <w:szCs w:val="22"/>
        </w:rPr>
        <w:t xml:space="preserve">Soustřeďování objemného odpadu podléhá požadavkům stanoveným v čl. 3 odst. 4 a 5. </w:t>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6</w:t>
      </w:r>
    </w:p>
    <w:p>
      <w:pPr>
        <w:pStyle w:val="Normal"/>
        <w:jc w:val="center"/>
        <w:rPr>
          <w:rFonts w:ascii="Arial" w:hAnsi="Arial" w:cs="Arial"/>
          <w:b/>
          <w:b/>
          <w:sz w:val="22"/>
          <w:szCs w:val="22"/>
        </w:rPr>
      </w:pPr>
      <w:r>
        <w:rPr>
          <w:rFonts w:cs="Arial" w:ascii="Arial" w:hAnsi="Arial"/>
          <w:b/>
          <w:sz w:val="22"/>
          <w:szCs w:val="22"/>
        </w:rPr>
        <w:t xml:space="preserve">Soustřeďování směsného komunálního odpadu </w:t>
      </w:r>
    </w:p>
    <w:p>
      <w:pPr>
        <w:pStyle w:val="Normal"/>
        <w:jc w:val="center"/>
        <w:rPr>
          <w:rFonts w:ascii="Arial" w:hAnsi="Arial" w:cs="Arial"/>
          <w:b/>
          <w:b/>
          <w:sz w:val="22"/>
          <w:szCs w:val="22"/>
        </w:rPr>
      </w:pPr>
      <w:r>
        <w:rPr>
          <w:rFonts w:cs="Arial" w:ascii="Arial" w:hAnsi="Arial"/>
          <w:b/>
          <w:sz w:val="22"/>
          <w:szCs w:val="22"/>
        </w:rPr>
      </w:r>
    </w:p>
    <w:p>
      <w:pPr>
        <w:pStyle w:val="Normal"/>
        <w:widowControl w:val="false"/>
        <w:numPr>
          <w:ilvl w:val="0"/>
          <w:numId w:val="10"/>
        </w:numPr>
        <w:ind w:left="426" w:right="0" w:hanging="426"/>
        <w:jc w:val="both"/>
        <w:rPr/>
      </w:pPr>
      <w:r>
        <w:rPr>
          <w:rFonts w:cs="Arial" w:ascii="Arial" w:hAnsi="Arial"/>
          <w:sz w:val="22"/>
          <w:szCs w:val="22"/>
        </w:rPr>
        <w:t>Směsný komunální odpad se odkládá do sběrných nádob. Pro účely této vyhlášky se sběrnými nádobami rozumějí</w:t>
      </w:r>
      <w:r>
        <w:rPr>
          <w:rFonts w:cs="Arial" w:ascii="Arial" w:hAnsi="Arial"/>
          <w:color w:val="000000"/>
          <w:sz w:val="22"/>
          <w:szCs w:val="22"/>
        </w:rPr>
        <w:t xml:space="preserve"> :</w:t>
      </w:r>
    </w:p>
    <w:p>
      <w:pPr>
        <w:pStyle w:val="Normal"/>
        <w:numPr>
          <w:ilvl w:val="0"/>
          <w:numId w:val="11"/>
        </w:numPr>
        <w:ind w:left="360" w:right="0" w:firstLine="66"/>
        <w:jc w:val="both"/>
        <w:rPr>
          <w:rFonts w:ascii="Arial" w:hAnsi="Arial" w:cs="Arial"/>
          <w:bCs/>
          <w:i w:val="false"/>
          <w:i w:val="false"/>
          <w:iCs w:val="false"/>
          <w:color w:val="000000"/>
          <w:sz w:val="22"/>
          <w:szCs w:val="22"/>
        </w:rPr>
      </w:pPr>
      <w:r>
        <w:rPr>
          <w:rFonts w:cs="Arial" w:ascii="Arial" w:hAnsi="Arial"/>
          <w:bCs/>
          <w:i w:val="false"/>
          <w:iCs w:val="false"/>
          <w:color w:val="000000"/>
          <w:sz w:val="22"/>
          <w:szCs w:val="22"/>
        </w:rPr>
        <w:t>popelnice o objemu 120 nebo 240 litrů</w:t>
      </w:r>
    </w:p>
    <w:p>
      <w:pPr>
        <w:pStyle w:val="Normal"/>
        <w:numPr>
          <w:ilvl w:val="0"/>
          <w:numId w:val="11"/>
        </w:numPr>
        <w:ind w:left="360" w:right="0" w:firstLine="66"/>
        <w:jc w:val="both"/>
        <w:rPr>
          <w:rFonts w:ascii="Arial" w:hAnsi="Arial" w:cs="Arial"/>
          <w:bCs/>
          <w:i w:val="false"/>
          <w:i w:val="false"/>
          <w:iCs w:val="false"/>
          <w:color w:val="000000"/>
          <w:sz w:val="22"/>
          <w:szCs w:val="22"/>
        </w:rPr>
      </w:pPr>
      <w:r>
        <w:rPr>
          <w:rFonts w:cs="Arial" w:ascii="Arial" w:hAnsi="Arial"/>
          <w:bCs/>
          <w:i w:val="false"/>
          <w:iCs w:val="false"/>
          <w:color w:val="000000"/>
          <w:sz w:val="22"/>
          <w:szCs w:val="22"/>
        </w:rPr>
        <w:t>igelitové pytle jako doplněk</w:t>
      </w:r>
    </w:p>
    <w:p>
      <w:pPr>
        <w:pStyle w:val="Normal"/>
        <w:numPr>
          <w:ilvl w:val="0"/>
          <w:numId w:val="11"/>
        </w:numPr>
        <w:ind w:left="360" w:right="0" w:firstLine="66"/>
        <w:jc w:val="both"/>
        <w:rPr>
          <w:rFonts w:ascii="Arial" w:hAnsi="Arial" w:cs="Arial"/>
          <w:i w:val="false"/>
          <w:i w:val="false"/>
          <w:iCs w:val="false"/>
          <w:color w:val="000000"/>
          <w:sz w:val="22"/>
          <w:szCs w:val="22"/>
        </w:rPr>
      </w:pPr>
      <w:r>
        <w:rPr>
          <w:rFonts w:cs="Arial" w:ascii="Arial" w:hAnsi="Arial"/>
          <w:i w:val="false"/>
          <w:iCs w:val="false"/>
          <w:color w:val="000000"/>
          <w:sz w:val="22"/>
          <w:szCs w:val="22"/>
        </w:rPr>
        <w:t>odpadkové koše, které jsou umístěny na veřejných prostranstvích v obci, sloužící pro    odkládání drobného směsného komunálního odpadu.</w:t>
      </w:r>
    </w:p>
    <w:p>
      <w:pPr>
        <w:pStyle w:val="Normal"/>
        <w:numPr>
          <w:ilvl w:val="0"/>
          <w:numId w:val="0"/>
        </w:numPr>
        <w:ind w:left="720" w:right="0" w:hanging="0"/>
        <w:jc w:val="both"/>
        <w:rPr>
          <w:i w:val="false"/>
          <w:i w:val="false"/>
          <w:iCs w:val="false"/>
          <w:color w:val="000000"/>
        </w:rPr>
      </w:pPr>
      <w:r>
        <w:rPr>
          <w:i w:val="false"/>
          <w:iCs w:val="false"/>
          <w:color w:val="000000"/>
        </w:rPr>
      </w:r>
    </w:p>
    <w:p>
      <w:pPr>
        <w:pStyle w:val="Normal"/>
        <w:numPr>
          <w:ilvl w:val="0"/>
          <w:numId w:val="10"/>
        </w:numPr>
        <w:ind w:left="426" w:right="0" w:hanging="426"/>
        <w:jc w:val="both"/>
        <w:rPr>
          <w:rFonts w:ascii="Arial" w:hAnsi="Arial" w:cs="Arial"/>
          <w:sz w:val="22"/>
          <w:szCs w:val="22"/>
        </w:rPr>
      </w:pPr>
      <w:r>
        <w:rPr>
          <w:rFonts w:cs="Arial" w:ascii="Arial" w:hAnsi="Arial"/>
          <w:sz w:val="22"/>
          <w:szCs w:val="22"/>
        </w:rPr>
        <w:t xml:space="preserve">Soustřeďování směsného komunálního odpadu podléhá požadavkům stanoveným </w:t>
        <w:br/>
        <w:t xml:space="preserve">v čl. 3 odst. 4 a 5. </w:t>
      </w:r>
    </w:p>
    <w:p>
      <w:pPr>
        <w:pStyle w:val="Normal"/>
        <w:numPr>
          <w:ilvl w:val="0"/>
          <w:numId w:val="0"/>
        </w:numPr>
        <w:ind w:left="720" w:right="0" w:hanging="0"/>
        <w:jc w:val="both"/>
        <w:rPr/>
      </w:pPr>
      <w:r>
        <w:rPr/>
      </w:r>
    </w:p>
    <w:p>
      <w:pPr>
        <w:pStyle w:val="Nadpis2"/>
        <w:jc w:val="center"/>
        <w:rPr/>
      </w:pPr>
      <w:r>
        <w:rPr/>
      </w:r>
    </w:p>
    <w:p>
      <w:pPr>
        <w:pStyle w:val="Normal"/>
        <w:jc w:val="center"/>
        <w:rPr>
          <w:rFonts w:ascii="Arial" w:hAnsi="Arial" w:cs="Arial"/>
          <w:b/>
          <w:b/>
          <w:sz w:val="22"/>
          <w:szCs w:val="22"/>
        </w:rPr>
      </w:pPr>
      <w:r>
        <w:rPr>
          <w:rFonts w:cs="Arial" w:ascii="Arial" w:hAnsi="Arial"/>
          <w:b/>
          <w:sz w:val="22"/>
          <w:szCs w:val="22"/>
        </w:rPr>
        <w:t>Čl. 7</w:t>
      </w:r>
    </w:p>
    <w:p>
      <w:pPr>
        <w:pStyle w:val="Nadpis2"/>
        <w:jc w:val="center"/>
        <w:rPr>
          <w:rFonts w:ascii="Arial" w:hAnsi="Arial" w:cs="Arial"/>
          <w:b/>
          <w:b/>
          <w:bCs/>
          <w:sz w:val="22"/>
          <w:szCs w:val="22"/>
          <w:u w:val="none"/>
        </w:rPr>
      </w:pPr>
      <w:r>
        <w:rPr>
          <w:rFonts w:cs="Arial" w:ascii="Arial" w:hAnsi="Arial"/>
          <w:b/>
          <w:bCs/>
          <w:sz w:val="22"/>
          <w:szCs w:val="22"/>
          <w:u w:val="none"/>
        </w:rPr>
        <w:t>Nakládání s movitými věcmi v rámci předcházení vzniku odpadu</w:t>
      </w:r>
    </w:p>
    <w:p>
      <w:pPr>
        <w:pStyle w:val="Nadpis2"/>
        <w:jc w:val="center"/>
        <w:rPr/>
      </w:pPr>
      <w:r>
        <w:rPr/>
      </w:r>
    </w:p>
    <w:p>
      <w:pPr>
        <w:pStyle w:val="Normal"/>
        <w:numPr>
          <w:ilvl w:val="0"/>
          <w:numId w:val="12"/>
        </w:numPr>
        <w:tabs>
          <w:tab w:val="left" w:pos="709" w:leader="none"/>
        </w:tabs>
        <w:jc w:val="both"/>
        <w:rPr>
          <w:rFonts w:ascii="Arial" w:hAnsi="Arial" w:cs="Arial"/>
          <w:sz w:val="22"/>
          <w:szCs w:val="22"/>
        </w:rPr>
      </w:pPr>
      <w:r>
        <w:rPr>
          <w:rFonts w:cs="Arial" w:ascii="Arial" w:hAnsi="Arial"/>
          <w:sz w:val="22"/>
          <w:szCs w:val="22"/>
        </w:rPr>
        <w:t>Obec v rámci předcházení vzniku odpadu za účelem jejich opětovného použití nakládá s těmito movitými věcmi:</w:t>
      </w:r>
    </w:p>
    <w:p>
      <w:pPr>
        <w:pStyle w:val="Normal"/>
        <w:tabs>
          <w:tab w:val="left" w:pos="709" w:leader="none"/>
        </w:tabs>
        <w:ind w:left="0" w:right="0" w:hanging="0"/>
        <w:jc w:val="both"/>
        <w:rPr/>
      </w:pPr>
      <w:r>
        <w:rPr>
          <w:rFonts w:eastAsia="Arial" w:cs="Arial" w:ascii="Arial" w:hAnsi="Arial"/>
          <w:sz w:val="22"/>
          <w:szCs w:val="22"/>
        </w:rPr>
        <w:t xml:space="preserve">          </w:t>
      </w:r>
      <w:r>
        <w:rPr>
          <w:rFonts w:cs="Arial" w:ascii="Arial" w:hAnsi="Arial"/>
          <w:sz w:val="22"/>
          <w:szCs w:val="22"/>
        </w:rPr>
        <w:t>a) textil</w:t>
      </w:r>
    </w:p>
    <w:p>
      <w:pPr>
        <w:pStyle w:val="Normal"/>
        <w:tabs>
          <w:tab w:val="left" w:pos="709" w:leader="none"/>
        </w:tabs>
        <w:ind w:left="0" w:right="0" w:hanging="0"/>
        <w:jc w:val="both"/>
        <w:rPr/>
      </w:pPr>
      <w:r>
        <w:rPr>
          <w:rFonts w:eastAsia="Arial" w:cs="Arial" w:ascii="Arial" w:hAnsi="Arial"/>
          <w:sz w:val="22"/>
          <w:szCs w:val="22"/>
        </w:rPr>
        <w:t xml:space="preserve">          </w:t>
      </w:r>
      <w:r>
        <w:rPr>
          <w:rFonts w:cs="Arial" w:ascii="Arial" w:hAnsi="Arial"/>
          <w:sz w:val="22"/>
          <w:szCs w:val="22"/>
        </w:rPr>
        <w:t>b) nádobí</w:t>
      </w:r>
    </w:p>
    <w:p>
      <w:pPr>
        <w:pStyle w:val="Normal"/>
        <w:tabs>
          <w:tab w:val="left" w:pos="709" w:leader="none"/>
        </w:tabs>
        <w:ind w:left="0" w:right="0" w:hanging="0"/>
        <w:jc w:val="both"/>
        <w:rPr/>
      </w:pPr>
      <w:r>
        <w:rPr>
          <w:rFonts w:eastAsia="Arial" w:cs="Arial" w:ascii="Arial" w:hAnsi="Arial"/>
          <w:sz w:val="22"/>
          <w:szCs w:val="22"/>
        </w:rPr>
        <w:t xml:space="preserve">          </w:t>
      </w:r>
      <w:r>
        <w:rPr>
          <w:rFonts w:cs="Arial" w:ascii="Arial" w:hAnsi="Arial"/>
          <w:sz w:val="22"/>
          <w:szCs w:val="22"/>
        </w:rPr>
        <w:t>c) drobné předměty do domácnosti</w:t>
      </w:r>
    </w:p>
    <w:p>
      <w:pPr>
        <w:pStyle w:val="Normal"/>
        <w:tabs>
          <w:tab w:val="left" w:pos="709" w:leader="none"/>
        </w:tabs>
        <w:ind w:left="360" w:right="0" w:hanging="0"/>
        <w:jc w:val="both"/>
        <w:rPr>
          <w:rFonts w:ascii="Arial" w:hAnsi="Arial" w:cs="Arial"/>
          <w:i/>
          <w:i/>
          <w:color w:val="00B0F0"/>
          <w:sz w:val="22"/>
          <w:szCs w:val="22"/>
        </w:rPr>
      </w:pPr>
      <w:r>
        <w:rPr>
          <w:rFonts w:cs="Arial" w:ascii="Arial" w:hAnsi="Arial"/>
          <w:i/>
          <w:color w:val="00B0F0"/>
          <w:sz w:val="22"/>
          <w:szCs w:val="22"/>
        </w:rPr>
      </w:r>
    </w:p>
    <w:p>
      <w:pPr>
        <w:pStyle w:val="Normal"/>
        <w:numPr>
          <w:ilvl w:val="0"/>
          <w:numId w:val="12"/>
        </w:numPr>
        <w:tabs>
          <w:tab w:val="left" w:pos="709" w:leader="none"/>
        </w:tabs>
        <w:jc w:val="both"/>
        <w:rPr/>
      </w:pPr>
      <w:r>
        <w:rPr>
          <w:rFonts w:cs="Arial" w:ascii="Arial" w:hAnsi="Arial"/>
          <w:sz w:val="22"/>
          <w:szCs w:val="22"/>
        </w:rPr>
        <w:t xml:space="preserve">Movité věci uvedené v odst. 1 lze předávat do speciálního kontejneru na textil, který je umístěn v odpadovém hnízdě ve středu obce nebo jednou za kalendářní rok ve spolupráci s DIAKONIE Broumov, sociální družstvo v předem stanovené datum v bodově OÚ. Movitá věc musí být předána v takovém stavu, aby bylo možné její opětovné použití. Informace o svozu je zveřejňována </w:t>
      </w:r>
      <w:r>
        <w:rPr>
          <w:rFonts w:cs="Arial" w:ascii="Arial" w:hAnsi="Arial"/>
          <w:i w:val="false"/>
          <w:iCs w:val="false"/>
          <w:color w:val="000000"/>
          <w:sz w:val="22"/>
          <w:szCs w:val="22"/>
        </w:rPr>
        <w:t>na úřední desce obecního úřadu, výlepových plochách, na internetových stránkách obce.</w:t>
      </w:r>
    </w:p>
    <w:p>
      <w:pPr>
        <w:pStyle w:val="Normal"/>
        <w:numPr>
          <w:ilvl w:val="0"/>
          <w:numId w:val="0"/>
        </w:numPr>
        <w:tabs>
          <w:tab w:val="left" w:pos="709" w:leader="none"/>
        </w:tabs>
        <w:ind w:left="360" w:right="0" w:hanging="0"/>
        <w:jc w:val="both"/>
        <w:rPr/>
      </w:pPr>
      <w:r>
        <w:rPr/>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8</w:t>
      </w:r>
    </w:p>
    <w:p>
      <w:pPr>
        <w:pStyle w:val="Nadpis2"/>
        <w:jc w:val="center"/>
        <w:rPr>
          <w:rFonts w:ascii="Arial" w:hAnsi="Arial" w:cs="Arial"/>
          <w:b/>
          <w:b/>
          <w:bCs/>
          <w:sz w:val="22"/>
          <w:szCs w:val="22"/>
          <w:u w:val="none"/>
        </w:rPr>
      </w:pPr>
      <w:r>
        <w:rPr>
          <w:rFonts w:cs="Arial" w:ascii="Arial" w:hAnsi="Arial"/>
          <w:b/>
          <w:bCs/>
          <w:sz w:val="22"/>
          <w:szCs w:val="22"/>
          <w:u w:val="none"/>
        </w:rPr>
        <w:t xml:space="preserve">Nakládání s výrobky s ukončenou životností v rámci služby pro výrobce </w:t>
      </w:r>
    </w:p>
    <w:p>
      <w:pPr>
        <w:pStyle w:val="Nadpis2"/>
        <w:jc w:val="center"/>
        <w:rPr>
          <w:rFonts w:ascii="Arial" w:hAnsi="Arial" w:cs="Arial"/>
          <w:b/>
          <w:b/>
          <w:bCs/>
          <w:sz w:val="22"/>
          <w:szCs w:val="22"/>
          <w:u w:val="none"/>
        </w:rPr>
      </w:pPr>
      <w:r>
        <w:rPr>
          <w:rFonts w:cs="Arial" w:ascii="Arial" w:hAnsi="Arial"/>
          <w:b/>
          <w:bCs/>
          <w:sz w:val="22"/>
          <w:szCs w:val="22"/>
          <w:u w:val="none"/>
        </w:rPr>
        <w:t>(zpětný odběr)</w:t>
      </w:r>
    </w:p>
    <w:p>
      <w:pPr>
        <w:pStyle w:val="Nadpis2"/>
        <w:jc w:val="center"/>
        <w:rPr/>
      </w:pPr>
      <w:r>
        <w:rPr/>
      </w:r>
    </w:p>
    <w:p>
      <w:pPr>
        <w:pStyle w:val="Normal"/>
        <w:numPr>
          <w:ilvl w:val="0"/>
          <w:numId w:val="13"/>
        </w:numPr>
        <w:autoSpaceDE w:val="false"/>
        <w:ind w:left="426" w:right="0" w:hanging="426"/>
        <w:jc w:val="both"/>
        <w:rPr>
          <w:rFonts w:ascii="Arial" w:hAnsi="Arial" w:cs="Arial"/>
          <w:sz w:val="22"/>
          <w:szCs w:val="22"/>
        </w:rPr>
      </w:pPr>
      <w:r>
        <w:rPr>
          <w:rFonts w:cs="Arial" w:ascii="Arial" w:hAnsi="Arial"/>
          <w:sz w:val="22"/>
          <w:szCs w:val="22"/>
        </w:rPr>
        <w:t xml:space="preserve">Obec v rámci služby pro výrobce nakládá s těmito výrobky s ukončenou životností: </w:t>
      </w:r>
    </w:p>
    <w:p>
      <w:pPr>
        <w:pStyle w:val="Normal"/>
        <w:autoSpaceDE w:val="false"/>
        <w:ind w:left="720" w:right="0" w:hanging="0"/>
        <w:jc w:val="both"/>
        <w:rPr>
          <w:rFonts w:ascii="Arial" w:hAnsi="Arial" w:cs="Arial"/>
          <w:sz w:val="22"/>
          <w:szCs w:val="22"/>
        </w:rPr>
      </w:pPr>
      <w:r>
        <w:rPr>
          <w:rFonts w:cs="Arial" w:ascii="Arial" w:hAnsi="Arial"/>
          <w:sz w:val="22"/>
          <w:szCs w:val="22"/>
        </w:rPr>
      </w:r>
    </w:p>
    <w:p>
      <w:pPr>
        <w:pStyle w:val="Normal"/>
        <w:autoSpaceDE w:val="false"/>
        <w:ind w:left="720" w:right="0" w:hanging="0"/>
        <w:jc w:val="both"/>
        <w:rPr>
          <w:rFonts w:ascii="Arial" w:hAnsi="Arial" w:cs="Arial"/>
          <w:sz w:val="22"/>
          <w:szCs w:val="22"/>
        </w:rPr>
      </w:pPr>
      <w:r>
        <w:rPr>
          <w:rFonts w:cs="Arial" w:ascii="Arial" w:hAnsi="Arial"/>
          <w:sz w:val="22"/>
          <w:szCs w:val="22"/>
        </w:rPr>
        <w:t>a) drobná elektrozařízení</w:t>
      </w:r>
    </w:p>
    <w:p>
      <w:pPr>
        <w:pStyle w:val="Normal"/>
        <w:autoSpaceDE w:val="false"/>
        <w:ind w:left="720" w:right="0" w:hanging="0"/>
        <w:jc w:val="both"/>
        <w:rPr>
          <w:rFonts w:ascii="Arial" w:hAnsi="Arial" w:cs="Arial"/>
          <w:sz w:val="22"/>
          <w:szCs w:val="22"/>
        </w:rPr>
      </w:pPr>
      <w:r>
        <w:rPr>
          <w:rFonts w:cs="Arial" w:ascii="Arial" w:hAnsi="Arial"/>
          <w:sz w:val="22"/>
          <w:szCs w:val="22"/>
        </w:rPr>
        <w:t>b) baterie a akumulátory</w:t>
      </w:r>
    </w:p>
    <w:p>
      <w:pPr>
        <w:pStyle w:val="Normal"/>
        <w:autoSpaceDE w:val="false"/>
        <w:ind w:left="720" w:right="0" w:hanging="0"/>
        <w:jc w:val="both"/>
        <w:rPr>
          <w:rFonts w:ascii="Arial" w:hAnsi="Arial" w:eastAsia="Arial" w:cs="Arial"/>
          <w:sz w:val="22"/>
          <w:szCs w:val="22"/>
        </w:rPr>
      </w:pPr>
      <w:r>
        <w:rPr>
          <w:rFonts w:eastAsia="Arial" w:cs="Arial" w:ascii="Arial" w:hAnsi="Arial"/>
          <w:sz w:val="22"/>
          <w:szCs w:val="22"/>
        </w:rPr>
        <w:t xml:space="preserve"> </w:t>
      </w:r>
    </w:p>
    <w:p>
      <w:pPr>
        <w:pStyle w:val="Normal"/>
        <w:numPr>
          <w:ilvl w:val="0"/>
          <w:numId w:val="13"/>
        </w:numPr>
        <w:autoSpaceDE w:val="false"/>
        <w:ind w:left="426" w:right="0" w:hanging="426"/>
        <w:jc w:val="both"/>
        <w:rPr>
          <w:rFonts w:ascii="Arial" w:hAnsi="Arial" w:cs="Arial"/>
          <w:sz w:val="22"/>
          <w:szCs w:val="22"/>
        </w:rPr>
      </w:pPr>
      <w:r>
        <w:rPr>
          <w:rFonts w:cs="Arial" w:ascii="Arial" w:hAnsi="Arial"/>
          <w:sz w:val="22"/>
          <w:szCs w:val="22"/>
        </w:rPr>
        <w:t>Výrobky s ukončenou životností uvedené v odst. 1 lze předávat do zvláštní sběrné nádoby šedé barvy, umístěné v budově OÚ, vždy v úřední dny.</w:t>
      </w:r>
    </w:p>
    <w:p>
      <w:pPr>
        <w:pStyle w:val="Normal"/>
        <w:autoSpaceDE w:val="false"/>
        <w:ind w:left="426" w:right="0" w:hanging="426"/>
        <w:jc w:val="both"/>
        <w:rPr/>
      </w:pPr>
      <w:r>
        <w:rPr/>
      </w:r>
    </w:p>
    <w:p>
      <w:pPr>
        <w:pStyle w:val="Normal"/>
        <w:autoSpaceDE w:val="false"/>
        <w:ind w:left="426" w:right="0" w:hanging="426"/>
        <w:jc w:val="both"/>
        <w:rPr/>
      </w:pPr>
      <w:r>
        <w:rPr/>
      </w:r>
    </w:p>
    <w:p>
      <w:pPr>
        <w:pStyle w:val="Normal"/>
        <w:autoSpaceDE w:val="false"/>
        <w:ind w:left="426" w:right="0" w:hanging="426"/>
        <w:jc w:val="both"/>
        <w:rPr>
          <w:rFonts w:ascii="Arial" w:hAnsi="Arial" w:cs="Arial"/>
          <w:b/>
          <w:b/>
          <w:i/>
          <w:i/>
          <w:sz w:val="22"/>
          <w:szCs w:val="22"/>
        </w:rPr>
      </w:pPr>
      <w:r>
        <w:rPr>
          <w:rFonts w:cs="Arial" w:ascii="Arial" w:hAnsi="Arial"/>
          <w:b/>
          <w:i/>
          <w:sz w:val="22"/>
          <w:szCs w:val="22"/>
        </w:rPr>
      </w:r>
    </w:p>
    <w:p>
      <w:pPr>
        <w:pStyle w:val="Normal"/>
        <w:jc w:val="center"/>
        <w:rPr>
          <w:rFonts w:ascii="Arial" w:hAnsi="Arial" w:cs="Arial"/>
          <w:b/>
          <w:b/>
          <w:sz w:val="22"/>
          <w:szCs w:val="22"/>
        </w:rPr>
      </w:pPr>
      <w:r>
        <w:rPr>
          <w:rFonts w:cs="Arial" w:ascii="Arial" w:hAnsi="Arial"/>
          <w:b/>
          <w:sz w:val="22"/>
          <w:szCs w:val="22"/>
        </w:rPr>
        <w:t>Čl. 9</w:t>
      </w:r>
    </w:p>
    <w:p>
      <w:pPr>
        <w:pStyle w:val="Normal"/>
        <w:jc w:val="center"/>
        <w:rPr>
          <w:rFonts w:ascii="Arial" w:hAnsi="Arial" w:cs="Arial"/>
          <w:b/>
          <w:b/>
          <w:sz w:val="22"/>
          <w:szCs w:val="22"/>
        </w:rPr>
      </w:pPr>
      <w:r>
        <w:rPr>
          <w:rFonts w:cs="Arial" w:ascii="Arial" w:hAnsi="Arial"/>
          <w:b/>
          <w:sz w:val="22"/>
          <w:szCs w:val="22"/>
        </w:rPr>
        <w:t>Závěrečná ustanovení</w:t>
      </w:r>
    </w:p>
    <w:p>
      <w:pPr>
        <w:pStyle w:val="Normal"/>
        <w:ind w:left="360" w:right="0" w:hanging="0"/>
        <w:jc w:val="center"/>
        <w:rPr>
          <w:rFonts w:ascii="Arial" w:hAnsi="Arial" w:cs="Arial"/>
          <w:b/>
          <w:b/>
          <w:sz w:val="22"/>
          <w:szCs w:val="22"/>
          <w:u w:val="single"/>
        </w:rPr>
      </w:pPr>
      <w:r>
        <w:rPr>
          <w:rFonts w:cs="Arial" w:ascii="Arial" w:hAnsi="Arial"/>
          <w:b/>
          <w:sz w:val="22"/>
          <w:szCs w:val="22"/>
          <w:u w:val="single"/>
        </w:rPr>
      </w:r>
    </w:p>
    <w:p>
      <w:pPr>
        <w:pStyle w:val="Normal"/>
        <w:numPr>
          <w:ilvl w:val="0"/>
          <w:numId w:val="2"/>
        </w:numPr>
        <w:jc w:val="both"/>
        <w:rPr/>
      </w:pPr>
      <w:r>
        <w:rPr>
          <w:rFonts w:cs="Arial" w:ascii="Arial" w:hAnsi="Arial"/>
          <w:sz w:val="22"/>
          <w:szCs w:val="22"/>
        </w:rPr>
        <w:t xml:space="preserve">Nabytím účinnosti této vyhlášky se zrušuje obecně závazná vyhláška obce </w:t>
        <w:br/>
      </w:r>
      <w:r>
        <w:rPr>
          <w:rFonts w:cs="Arial" w:ascii="Arial" w:hAnsi="Arial"/>
          <w:sz w:val="22"/>
          <w:szCs w:val="22"/>
          <w:shd w:fill="auto" w:val="clear"/>
        </w:rPr>
        <w:t>č. 1/20</w:t>
      </w:r>
      <w:r>
        <w:rPr>
          <w:rFonts w:eastAsia="Times New Roman" w:cs="Arial" w:ascii="Arial" w:hAnsi="Arial"/>
          <w:color w:val="000000"/>
          <w:sz w:val="22"/>
          <w:szCs w:val="22"/>
          <w:shd w:fill="auto" w:val="clear"/>
          <w:lang w:val="cs-CZ" w:eastAsia="zh-CN" w:bidi="ar-SA"/>
        </w:rPr>
        <w:t>21</w:t>
      </w:r>
      <w:r>
        <w:rPr>
          <w:rFonts w:cs="Arial" w:ascii="Arial" w:hAnsi="Arial"/>
          <w:sz w:val="22"/>
          <w:szCs w:val="22"/>
        </w:rPr>
        <w:t xml:space="preserve">, </w:t>
      </w:r>
      <w:r>
        <w:rPr>
          <w:rFonts w:cs="Arial" w:ascii="Arial" w:hAnsi="Arial"/>
          <w:b w:val="false"/>
          <w:bCs w:val="false"/>
          <w:color w:val="000000"/>
          <w:sz w:val="22"/>
          <w:szCs w:val="22"/>
        </w:rPr>
        <w:t>o stanovení systému shromažďování, sběru, přepravy, třídění, využívání a odstraňování komunálních odpadů a nakládání se stavebním odpadem na katastrálním území obce Tisem</w:t>
      </w:r>
      <w:r>
        <w:rPr>
          <w:rFonts w:cs="Arial" w:ascii="Arial" w:hAnsi="Arial"/>
          <w:b w:val="false"/>
          <w:bCs w:val="false"/>
          <w:color w:val="000000"/>
          <w:sz w:val="22"/>
          <w:szCs w:val="22"/>
        </w:rPr>
        <w: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numPr>
          <w:ilvl w:val="0"/>
          <w:numId w:val="2"/>
        </w:numPr>
        <w:jc w:val="both"/>
        <w:rPr>
          <w:rFonts w:ascii="Arial" w:hAnsi="Arial" w:cs="Arial"/>
          <w:sz w:val="22"/>
          <w:szCs w:val="22"/>
        </w:rPr>
      </w:pPr>
      <w:r>
        <w:rPr>
          <w:rFonts w:cs="Arial" w:ascii="Arial" w:hAnsi="Arial"/>
          <w:sz w:val="22"/>
          <w:szCs w:val="22"/>
        </w:rPr>
        <w:t>Tato vyhláška nabývá účinnosti dnem 1.1.2025 .</w:t>
      </w:r>
    </w:p>
    <w:p>
      <w:pPr>
        <w:pStyle w:val="Normal"/>
        <w:tabs>
          <w:tab w:val="clear" w:pos="709"/>
          <w:tab w:val="left" w:pos="540" w:leader="none"/>
        </w:tabs>
        <w:ind w:left="540" w:right="0" w:hanging="0"/>
        <w:jc w:val="both"/>
        <w:rPr>
          <w:rFonts w:ascii="Arial" w:hAnsi="Arial" w:cs="Arial"/>
          <w:sz w:val="22"/>
          <w:szCs w:val="22"/>
        </w:rPr>
      </w:pPr>
      <w:r>
        <w:rPr>
          <w:rFonts w:cs="Arial" w:ascii="Arial" w:hAnsi="Arial"/>
          <w:sz w:val="22"/>
          <w:szCs w:val="22"/>
        </w:rPr>
      </w:r>
    </w:p>
    <w:p>
      <w:pPr>
        <w:pStyle w:val="Normal"/>
        <w:ind w:left="0" w:right="0" w:firstLine="708"/>
        <w:rPr>
          <w:rFonts w:ascii="Arial" w:hAnsi="Arial" w:cs="Arial"/>
          <w:bCs/>
          <w:i/>
          <w:i/>
          <w:sz w:val="22"/>
          <w:szCs w:val="22"/>
        </w:rPr>
      </w:pPr>
      <w:r>
        <w:rPr>
          <w:rFonts w:cs="Arial" w:ascii="Arial" w:hAnsi="Arial"/>
          <w:bCs/>
          <w:i/>
          <w:sz w:val="22"/>
          <w:szCs w:val="22"/>
        </w:rPr>
      </w:r>
    </w:p>
    <w:p>
      <w:pPr>
        <w:pStyle w:val="Normal"/>
        <w:ind w:left="0" w:right="0" w:firstLine="708"/>
        <w:rPr>
          <w:rFonts w:ascii="Arial" w:hAnsi="Arial" w:cs="Arial"/>
          <w:bCs/>
          <w:i/>
          <w:i/>
          <w:sz w:val="22"/>
          <w:szCs w:val="22"/>
        </w:rPr>
      </w:pPr>
      <w:r>
        <w:rPr>
          <w:rFonts w:cs="Arial" w:ascii="Arial" w:hAnsi="Arial"/>
          <w:bCs/>
          <w:i/>
          <w:sz w:val="22"/>
          <w:szCs w:val="22"/>
        </w:rPr>
      </w:r>
    </w:p>
    <w:p>
      <w:pPr>
        <w:pStyle w:val="Normal"/>
        <w:ind w:left="0" w:right="0" w:firstLine="708"/>
        <w:rPr>
          <w:rFonts w:ascii="Arial" w:hAnsi="Arial" w:cs="Arial"/>
          <w:bCs/>
          <w:i/>
          <w:i/>
          <w:sz w:val="22"/>
          <w:szCs w:val="22"/>
        </w:rPr>
      </w:pPr>
      <w:r>
        <w:rPr>
          <w:rFonts w:cs="Arial" w:ascii="Arial" w:hAnsi="Arial"/>
          <w:bCs/>
          <w:i/>
          <w:sz w:val="22"/>
          <w:szCs w:val="22"/>
        </w:rPr>
      </w:r>
    </w:p>
    <w:p>
      <w:pPr>
        <w:pStyle w:val="Normal"/>
        <w:ind w:left="0" w:right="0" w:firstLine="708"/>
        <w:rPr>
          <w:rFonts w:ascii="Arial" w:hAnsi="Arial" w:cs="Arial"/>
          <w:bCs/>
          <w:i/>
          <w:i/>
          <w:sz w:val="22"/>
          <w:szCs w:val="22"/>
        </w:rPr>
      </w:pPr>
      <w:r>
        <w:rPr>
          <w:rFonts w:cs="Arial" w:ascii="Arial" w:hAnsi="Arial"/>
          <w:bCs/>
          <w:i/>
          <w:sz w:val="22"/>
          <w:szCs w:val="22"/>
        </w:rPr>
        <w:tab/>
        <w:tab/>
        <w:tab/>
        <w:tab/>
        <w:tab/>
        <w:tab/>
        <w:tab/>
        <w:tab/>
      </w:r>
    </w:p>
    <w:p>
      <w:pPr>
        <w:pStyle w:val="Normal"/>
        <w:ind w:left="708" w:right="0" w:hanging="0"/>
        <w:rPr>
          <w:rFonts w:ascii="Arial" w:hAnsi="Arial" w:cs="Arial"/>
          <w:bCs/>
          <w:sz w:val="22"/>
          <w:szCs w:val="22"/>
        </w:rPr>
      </w:pPr>
      <w:r>
        <w:rPr>
          <w:rFonts w:cs="Arial" w:ascii="Arial" w:hAnsi="Arial"/>
          <w:bCs/>
          <w:sz w:val="22"/>
          <w:szCs w:val="22"/>
        </w:rPr>
        <w:t>Dušan Vaněček</w:t>
        <w:tab/>
        <w:tab/>
        <w:tab/>
        <w:tab/>
        <w:tab/>
        <w:t xml:space="preserve">              Miloslav Albrecht</w:t>
        <w:tab/>
        <w:tab/>
        <w:tab/>
        <w:tab/>
        <w:tab/>
      </w:r>
    </w:p>
    <w:p>
      <w:pPr>
        <w:pStyle w:val="Normal"/>
        <w:ind w:left="708" w:right="0" w:hanging="0"/>
        <w:rPr/>
      </w:pPr>
      <w:r>
        <w:rPr>
          <w:rFonts w:eastAsia="Arial" w:cs="Arial" w:ascii="Arial" w:hAnsi="Arial"/>
          <w:bCs/>
          <w:sz w:val="22"/>
          <w:szCs w:val="22"/>
        </w:rPr>
        <w:t xml:space="preserve"> </w:t>
      </w:r>
      <w:r>
        <w:rPr>
          <w:rFonts w:cs="Arial" w:ascii="Arial" w:hAnsi="Arial"/>
          <w:bCs/>
          <w:sz w:val="22"/>
          <w:szCs w:val="22"/>
        </w:rPr>
        <w:t>místostarosta</w:t>
        <w:tab/>
        <w:tab/>
        <w:tab/>
        <w:tab/>
        <w:tab/>
        <w:tab/>
        <w:tab/>
        <w:tab/>
        <w:t>starosta</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pPr>
      <w:r>
        <w:rPr>
          <w:rFonts w:cs="Arial" w:ascii="Arial" w:hAnsi="Arial"/>
          <w:sz w:val="22"/>
          <w:szCs w:val="22"/>
        </w:rPr>
        <w:t>Vyvěšeno na úřední desce obecního úřadu dne:  4</w:t>
      </w:r>
      <w:r>
        <w:rPr>
          <w:rFonts w:cs="Arial" w:ascii="Arial" w:hAnsi="Arial"/>
          <w:sz w:val="22"/>
          <w:szCs w:val="22"/>
          <w:shd w:fill="auto" w:val="clear"/>
        </w:rPr>
        <w:t>.12.2024</w:t>
      </w:r>
    </w:p>
    <w:p>
      <w:pPr>
        <w:pStyle w:val="Normal"/>
        <w:rPr/>
      </w:pPr>
      <w:r>
        <w:rPr/>
      </w:r>
    </w:p>
    <w:p>
      <w:pPr>
        <w:pStyle w:val="Normal"/>
        <w:jc w:val="both"/>
        <w:rPr>
          <w:rFonts w:ascii="Arial" w:hAnsi="Arial" w:cs="Arial"/>
          <w:b w:val="false"/>
          <w:b w:val="false"/>
          <w:bCs w:val="false"/>
          <w:sz w:val="22"/>
          <w:szCs w:val="22"/>
          <w:u w:val="none"/>
        </w:rPr>
      </w:pPr>
      <w:r>
        <w:rPr>
          <w:rFonts w:cs="Arial" w:ascii="Arial" w:hAnsi="Arial"/>
          <w:b w:val="false"/>
          <w:bCs w:val="false"/>
          <w:sz w:val="22"/>
          <w:szCs w:val="22"/>
          <w:u w:val="none"/>
        </w:rPr>
        <w:t xml:space="preserve">Sejmuto z úřední desky obecního úřadu dne: </w:t>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both"/>
        <w:rPr>
          <w:b/>
          <w:b/>
          <w:sz w:val="24"/>
        </w:rPr>
      </w:pPr>
      <w:r>
        <w:rPr>
          <w:b/>
          <w:sz w:val="24"/>
        </w:rPr>
      </w:r>
    </w:p>
    <w:p>
      <w:pPr>
        <w:pStyle w:val="Normal"/>
        <w:rPr>
          <w:b/>
          <w:b/>
          <w:sz w:val="24"/>
        </w:rPr>
      </w:pPr>
      <w:r>
        <w:rPr>
          <w:b/>
          <w:sz w:val="24"/>
        </w:rPr>
      </w:r>
    </w:p>
    <w:p>
      <w:pPr>
        <w:pStyle w:val="Normal"/>
        <w:spacing w:before="0" w:after="120"/>
        <w:ind w:left="357" w:right="0" w:hanging="0"/>
        <w:rPr>
          <w:b/>
          <w:b/>
          <w:iCs/>
          <w:sz w:val="24"/>
        </w:rPr>
      </w:pPr>
      <w:r>
        <w:rPr>
          <w:b/>
          <w:iCs/>
          <w:sz w:val="24"/>
        </w:rPr>
      </w:r>
    </w:p>
    <w:p>
      <w:pPr>
        <w:pStyle w:val="Nadpis2"/>
        <w:jc w:val="center"/>
        <w:rPr>
          <w:b/>
          <w:b/>
          <w:bCs/>
          <w:iCs/>
          <w:sz w:val="24"/>
          <w:u w:val="none"/>
        </w:rPr>
      </w:pPr>
      <w:r>
        <w:rPr>
          <w:b/>
          <w:bCs/>
          <w:iCs/>
          <w:sz w:val="24"/>
          <w:u w:val="none"/>
        </w:rPr>
      </w:r>
    </w:p>
    <w:p>
      <w:pPr>
        <w:pStyle w:val="Nadpis2"/>
        <w:jc w:val="center"/>
        <w:rPr>
          <w:b/>
          <w:b/>
          <w:bCs/>
          <w:iCs/>
          <w:sz w:val="24"/>
          <w:u w:val="none"/>
        </w:rPr>
      </w:pPr>
      <w:r>
        <w:rPr>
          <w:b/>
          <w:bCs/>
          <w:iCs/>
          <w:sz w:val="24"/>
          <w:u w:val="none"/>
        </w:rPr>
      </w:r>
    </w:p>
    <w:p>
      <w:pPr>
        <w:pStyle w:val="Normal"/>
        <w:rPr>
          <w:b/>
          <w:b/>
          <w:bCs/>
          <w:iCs/>
          <w:sz w:val="24"/>
          <w:u w:val="none"/>
        </w:rPr>
      </w:pPr>
      <w:r>
        <w:rPr>
          <w:b/>
          <w:bCs/>
          <w:iCs/>
          <w:sz w:val="24"/>
          <w:u w:val="none"/>
        </w:rPr>
      </w:r>
    </w:p>
    <w:p>
      <w:pPr>
        <w:pStyle w:val="Normal"/>
        <w:rPr>
          <w:b/>
          <w:b/>
          <w:bCs/>
          <w:iCs/>
          <w:sz w:val="24"/>
          <w:u w:val="none"/>
        </w:rPr>
      </w:pPr>
      <w:r>
        <w:rPr>
          <w:b/>
          <w:bCs/>
          <w:iCs/>
          <w:sz w:val="24"/>
          <w:u w:val="none"/>
        </w:rPr>
      </w:r>
    </w:p>
    <w:p>
      <w:pPr>
        <w:pStyle w:val="Normal"/>
        <w:rPr>
          <w:b/>
          <w:b/>
          <w:bCs/>
          <w:iCs/>
          <w:sz w:val="24"/>
          <w:u w:val="none"/>
        </w:rPr>
      </w:pPr>
      <w:r>
        <w:rPr>
          <w:b/>
          <w:bCs/>
          <w:iCs/>
          <w:sz w:val="24"/>
          <w:u w:val="none"/>
        </w:rPr>
      </w:r>
    </w:p>
    <w:p>
      <w:pPr>
        <w:pStyle w:val="Normal"/>
        <w:rPr>
          <w:b/>
          <w:b/>
          <w:bCs/>
          <w:iCs/>
          <w:sz w:val="24"/>
          <w:u w:val="none"/>
        </w:rPr>
      </w:pPr>
      <w:r>
        <w:rPr>
          <w:b/>
          <w:bCs/>
          <w:iCs/>
          <w:sz w:val="24"/>
          <w:u w:val="none"/>
        </w:rPr>
      </w:r>
    </w:p>
    <w:p>
      <w:pPr>
        <w:pStyle w:val="Normal"/>
        <w:rPr>
          <w:b/>
          <w:b/>
          <w:bCs/>
          <w:iCs/>
          <w:sz w:val="24"/>
          <w:u w:val="none"/>
        </w:rPr>
      </w:pPr>
      <w:r>
        <w:rPr>
          <w:b/>
          <w:bCs/>
          <w:iCs/>
          <w:sz w:val="24"/>
          <w:u w:val="none"/>
        </w:rPr>
      </w:r>
    </w:p>
    <w:p>
      <w:pPr>
        <w:pStyle w:val="Nadpis2"/>
        <w:jc w:val="center"/>
        <w:rPr>
          <w:b/>
          <w:b/>
          <w:bCs/>
          <w:iCs/>
          <w:sz w:val="24"/>
          <w:u w:val="none"/>
        </w:rPr>
      </w:pPr>
      <w:r>
        <w:rPr>
          <w:b/>
          <w:bCs/>
          <w:iCs/>
          <w:sz w:val="24"/>
          <w:u w:val="none"/>
        </w:rPr>
      </w:r>
    </w:p>
    <w:p>
      <w:pPr>
        <w:pStyle w:val="Seznamoslovan"/>
        <w:numPr>
          <w:ilvl w:val="0"/>
          <w:numId w:val="0"/>
        </w:numPr>
        <w:spacing w:lineRule="auto" w:line="240" w:before="0" w:after="0"/>
        <w:ind w:left="0" w:right="0" w:hanging="0"/>
        <w:jc w:val="center"/>
        <w:rPr>
          <w:b/>
          <w:b/>
          <w:bCs/>
          <w:iCs/>
          <w:sz w:val="24"/>
          <w:u w:val="none"/>
        </w:rPr>
      </w:pPr>
      <w:r>
        <w:rPr>
          <w:b/>
          <w:bCs/>
          <w:iCs/>
          <w:sz w:val="24"/>
          <w:u w:val="none"/>
        </w:rPr>
      </w:r>
    </w:p>
    <w:sectPr>
      <w:headerReference w:type="default" r:id="rId2"/>
      <w:footerReference w:type="default" r:id="rId3"/>
      <w:type w:val="nextPage"/>
      <w:pgSz w:w="11906" w:h="16838"/>
      <w:pgMar w:left="1247" w:right="1247" w:header="709" w:top="1134" w:footer="284"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Tahoma">
    <w:charset w:val="ee"/>
    <w:family w:val="swiss"/>
    <w:pitch w:val="variable"/>
  </w:font>
  <w:font w:name="Liberation Sans">
    <w:altName w:val="Arial"/>
    <w:charset w:val="ee"/>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pPr>
    <w:r>
      <w:rPr/>
      <w:t xml:space="preserve"> </w:t>
    </w:r>
    <w:r>
      <w:rPr>
        <w:sz w:val="12"/>
        <w:szCs w:val="12"/>
      </w:rPr>
      <w:t xml:space="preserve">OZV </w:t>
    </w:r>
    <w:r>
      <w:rPr>
        <w:color w:val="000000"/>
        <w:sz w:val="12"/>
        <w:szCs w:val="12"/>
      </w:rPr>
      <w:t>o stanovení obecního systému odpadového hospodářství na území obce Tisem</w:t>
    </w:r>
  </w:p>
  <w:p>
    <w:pPr>
      <w:pStyle w:val="Zpat"/>
      <w:jc w:val="right"/>
      <w:rPr>
        <w:sz w:val="12"/>
        <w:szCs w:val="12"/>
      </w:rPr>
    </w:pPr>
    <w:r>
      <w:rPr>
        <w:sz w:val="12"/>
        <w:szCs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center"/>
      <w:rPr>
        <w:b/>
        <w:b/>
        <w:bCs/>
        <w:sz w:val="32"/>
        <w:szCs w:val="32"/>
      </w:rPr>
    </w:pPr>
    <w:r>
      <w:rPr>
        <w:b/>
        <w:bCs/>
        <w:sz w:val="32"/>
        <w:szCs w:val="32"/>
      </w:rPr>
      <w:t>O B E C      T I S E M</w:t>
    </w:r>
  </w:p>
  <w:p>
    <w:pPr>
      <w:pStyle w:val="Zhlav"/>
      <w:jc w:val="center"/>
      <w:rPr/>
    </w:pPr>
    <w:r>
      <w:rPr/>
      <w:t>___________________________________________________________________________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rPr/>
    </w:lvl>
    <w:lvl w:ilvl="1">
      <w:start w:val="1"/>
      <w:pStyle w:val="Nadpis2"/>
      <w:numFmt w:val="none"/>
      <w:suff w:val="nothing"/>
      <w:lvlText w:val=""/>
      <w:lvlJc w:val="left"/>
      <w:pPr>
        <w:tabs>
          <w:tab w:val="num" w:pos="0"/>
        </w:tabs>
        <w:ind w:left="0" w:hanging="0"/>
      </w:pPr>
      <w:rPr/>
    </w:lvl>
    <w:lvl w:ilvl="2">
      <w:start w:val="1"/>
      <w:pStyle w:val="Nadpis3"/>
      <w:numFmt w:val="none"/>
      <w:suff w:val="nothing"/>
      <w:lvlText w:val=""/>
      <w:lvlJc w:val="left"/>
      <w:pPr>
        <w:tabs>
          <w:tab w:val="num" w:pos="0"/>
        </w:tabs>
        <w:ind w:left="0" w:hanging="0"/>
      </w:pPr>
      <w:rPr/>
    </w:lvl>
    <w:lvl w:ilvl="3">
      <w:start w:val="1"/>
      <w:pStyle w:val="Nadpis4"/>
      <w:numFmt w:val="none"/>
      <w:suff w:val="nothing"/>
      <w:lvlText w:val=""/>
      <w:lvlJc w:val="left"/>
      <w:pPr>
        <w:tabs>
          <w:tab w:val="num" w:pos="0"/>
        </w:tabs>
        <w:ind w:left="0" w:hanging="0"/>
      </w:pPr>
      <w:rPr/>
    </w:lvl>
    <w:lvl w:ilvl="4">
      <w:start w:val="1"/>
      <w:pStyle w:val="Nadpis5"/>
      <w:numFmt w:val="none"/>
      <w:suff w:val="nothing"/>
      <w:lvlText w:val=""/>
      <w:lvlJc w:val="left"/>
      <w:pPr>
        <w:tabs>
          <w:tab w:val="num" w:pos="0"/>
        </w:tabs>
        <w:ind w:left="0" w:hanging="0"/>
      </w:pPr>
      <w:rPr/>
    </w:lvl>
    <w:lvl w:ilvl="5">
      <w:start w:val="1"/>
      <w:pStyle w:val="Nadpis6"/>
      <w:numFmt w:val="none"/>
      <w:suff w:val="nothing"/>
      <w:lvlText w:val=""/>
      <w:lvlJc w:val="left"/>
      <w:pPr>
        <w:tabs>
          <w:tab w:val="num" w:pos="0"/>
        </w:tabs>
        <w:ind w:left="0" w:hanging="0"/>
      </w:pPr>
      <w:rPr/>
    </w:lvl>
    <w:lvl w:ilvl="6">
      <w:start w:val="1"/>
      <w:pStyle w:val="Nadpis7"/>
      <w:numFmt w:val="none"/>
      <w:suff w:val="nothing"/>
      <w:lvlText w:val=""/>
      <w:lvlJc w:val="left"/>
      <w:pPr>
        <w:tabs>
          <w:tab w:val="num" w:pos="0"/>
        </w:tabs>
        <w:ind w:left="0" w:hanging="0"/>
      </w:pPr>
      <w:rPr/>
    </w:lvl>
    <w:lvl w:ilvl="7">
      <w:start w:val="1"/>
      <w:pStyle w:val="Nadpis8"/>
      <w:numFmt w:val="none"/>
      <w:suff w:val="nothing"/>
      <w:lvlText w:val=""/>
      <w:lvlJc w:val="left"/>
      <w:pPr>
        <w:tabs>
          <w:tab w:val="num" w:pos="0"/>
        </w:tabs>
        <w:ind w:left="0" w:hanging="0"/>
      </w:pPr>
      <w:rPr/>
    </w:lvl>
    <w:lvl w:ilvl="8">
      <w:start w:val="1"/>
      <w:pStyle w:val="Nadpis9"/>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abstractNum>
  <w:abstractNum w:abstractNumId="3">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720" w:hanging="360"/>
      </w:pPr>
      <w:rPr>
        <w:sz w:val="22"/>
        <w:szCs w:val="22"/>
        <w:rFonts w:ascii="Arial" w:hAnsi="Arial" w:cs="Arial"/>
        <w:color w:val="000000"/>
      </w:rPr>
    </w:lvl>
  </w:abstractNum>
  <w:abstractNum w:abstractNumId="5">
    <w:lvl w:ilvl="0">
      <w:start w:val="1"/>
      <w:numFmt w:val="decimal"/>
      <w:lvlText w:val="%1)"/>
      <w:lvlJc w:val="left"/>
      <w:pPr>
        <w:tabs>
          <w:tab w:val="num" w:pos="0"/>
        </w:tabs>
        <w:ind w:left="360" w:hanging="360"/>
      </w:pPr>
      <w:rPr>
        <w:sz w:val="22"/>
        <w:szCs w:val="22"/>
        <w:rFonts w:ascii="Arial" w:hAnsi="Arial" w:cs="Arial"/>
      </w:rPr>
    </w:lvl>
  </w:abstractNum>
  <w:abstractNum w:abstractNumId="6">
    <w:lvl w:ilvl="0">
      <w:start w:val="1"/>
      <w:numFmt w:val="lowerLetter"/>
      <w:lvlText w:val="%1)"/>
      <w:lvlJc w:val="left"/>
      <w:pPr>
        <w:tabs>
          <w:tab w:val="num" w:pos="0"/>
        </w:tabs>
        <w:ind w:left="786" w:hanging="360"/>
      </w:pPr>
      <w:rPr>
        <w:sz w:val="22"/>
        <w:i/>
        <w:szCs w:val="22"/>
        <w:bCs/>
        <w:rFonts w:ascii="Arial" w:hAnsi="Arial" w:eastAsia="Times New Roman" w:cs="Times New Roman"/>
        <w:color w:val="000000"/>
      </w:rPr>
    </w:lvl>
  </w:abstractNum>
  <w:abstractNum w:abstractNumId="7">
    <w:lvl w:ilvl="0">
      <w:start w:val="1"/>
      <w:numFmt w:val="decimal"/>
      <w:lvlText w:val="%1)"/>
      <w:lvlJc w:val="left"/>
      <w:pPr>
        <w:tabs>
          <w:tab w:val="num" w:pos="360"/>
        </w:tabs>
        <w:ind w:left="360" w:hanging="360"/>
      </w:pPr>
      <w:rPr>
        <w:sz w:val="22"/>
        <w:u w:val="none"/>
        <w:b w:val="false"/>
        <w:szCs w:val="22"/>
        <w:rFonts w:ascii="Arial" w:hAnsi="Arial" w:cs="Arial"/>
        <w:color w:val="000000"/>
      </w:rPr>
    </w:lvl>
  </w:abstractNum>
  <w:abstractNum w:abstractNumId="8">
    <w:lvl w:ilvl="0">
      <w:start w:val="1"/>
      <w:numFmt w:val="decimal"/>
      <w:lvlText w:val="%1)"/>
      <w:lvlJc w:val="left"/>
      <w:pPr>
        <w:tabs>
          <w:tab w:val="num" w:pos="0"/>
        </w:tabs>
        <w:ind w:left="360" w:hanging="360"/>
      </w:pPr>
      <w:rPr>
        <w:sz w:val="22"/>
        <w:i w:val="false"/>
        <w:szCs w:val="22"/>
        <w:iCs/>
        <w:rFonts w:ascii="Arial" w:hAnsi="Arial" w:cs="Arial"/>
      </w:rPr>
    </w:lvl>
  </w:abstractNum>
  <w:abstractNum w:abstractNumId="9">
    <w:lvl w:ilvl="0">
      <w:start w:val="1"/>
      <w:numFmt w:val="decimal"/>
      <w:lvlText w:val="%1)"/>
      <w:lvlJc w:val="left"/>
      <w:pPr>
        <w:tabs>
          <w:tab w:val="num" w:pos="360"/>
        </w:tabs>
        <w:ind w:left="360" w:hanging="360"/>
      </w:pPr>
      <w:rPr>
        <w:sz w:val="22"/>
        <w:szCs w:val="22"/>
        <w:iCs/>
        <w:rFonts w:ascii="Arial" w:hAnsi="Arial" w:cs="Arial"/>
        <w:color w:val="000000"/>
      </w:rPr>
    </w:lvl>
  </w:abstractNum>
  <w:abstractNum w:abstractNumId="10">
    <w:lvl w:ilvl="0">
      <w:start w:val="1"/>
      <w:numFmt w:val="decimal"/>
      <w:lvlText w:val="%1)"/>
      <w:lvlJc w:val="left"/>
      <w:pPr>
        <w:tabs>
          <w:tab w:val="num" w:pos="0"/>
        </w:tabs>
        <w:ind w:left="720" w:hanging="360"/>
      </w:pPr>
      <w:rPr>
        <w:dstrike w:val="false"/>
        <w:strike w:val="false"/>
        <w:sz w:val="22"/>
        <w:szCs w:val="22"/>
        <w:rFonts w:ascii="Arial" w:hAnsi="Arial" w:cs="Arial"/>
        <w:color w:val="000000"/>
      </w:rPr>
    </w:lvl>
  </w:abstractNum>
  <w:abstractNum w:abstractNumId="11">
    <w:lvl w:ilvl="0">
      <w:start w:val="1"/>
      <w:numFmt w:val="lowerLetter"/>
      <w:lvlText w:val="%1)"/>
      <w:lvlJc w:val="left"/>
      <w:pPr>
        <w:tabs>
          <w:tab w:val="num" w:pos="708"/>
        </w:tabs>
        <w:ind w:left="360" w:hanging="360"/>
      </w:pPr>
      <w:rPr>
        <w:sz w:val="22"/>
        <w:i w:val="false"/>
        <w:szCs w:val="22"/>
        <w:iCs w:val="false"/>
        <w:rFonts w:ascii="Arial" w:hAnsi="Arial" w:eastAsia="Times New Roman" w:cs="Arial"/>
        <w:color w:val="000000"/>
      </w:rPr>
    </w:lvl>
  </w:abstractNum>
  <w:abstractNum w:abstractNumId="12">
    <w:lvl w:ilvl="0">
      <w:start w:val="1"/>
      <w:numFmt w:val="decimal"/>
      <w:lvlText w:val="%1)"/>
      <w:lvlJc w:val="left"/>
      <w:pPr>
        <w:tabs>
          <w:tab w:val="num" w:pos="360"/>
        </w:tabs>
        <w:ind w:left="360" w:hanging="360"/>
      </w:pPr>
      <w:rPr>
        <w:sz w:val="22"/>
        <w:szCs w:val="22"/>
        <w:rFonts w:ascii="Arial" w:hAnsi="Arial" w:cs="Arial"/>
      </w:rPr>
    </w:lvl>
  </w:abstractNum>
  <w:abstractNum w:abstractNumId="13">
    <w:lvl w:ilvl="0">
      <w:start w:val="1"/>
      <w:numFmt w:val="decimal"/>
      <w:lvlText w:val="%1)"/>
      <w:lvlJc w:val="left"/>
      <w:pPr>
        <w:tabs>
          <w:tab w:val="num" w:pos="0"/>
        </w:tabs>
        <w:ind w:left="720" w:hanging="360"/>
      </w:pPr>
      <w:rPr>
        <w:sz w:val="22"/>
        <w:i w:val="false"/>
        <w:szCs w:val="22"/>
        <w:iCs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cs-CZ" w:eastAsia="zh-CN" w:bidi="ar-SA"/>
    </w:rPr>
  </w:style>
  <w:style w:type="paragraph" w:styleId="Nadpis1">
    <w:name w:val="Heading 1"/>
    <w:basedOn w:val="Normal"/>
    <w:next w:val="Normal"/>
    <w:qFormat/>
    <w:pPr>
      <w:keepNext w:val="true"/>
      <w:numPr>
        <w:ilvl w:val="0"/>
        <w:numId w:val="1"/>
      </w:numPr>
      <w:outlineLvl w:val="0"/>
    </w:pPr>
    <w:rPr>
      <w:b/>
      <w:bCs/>
      <w:u w:val="single"/>
    </w:rPr>
  </w:style>
  <w:style w:type="paragraph" w:styleId="Nadpis2">
    <w:name w:val="Heading 2"/>
    <w:basedOn w:val="Normal"/>
    <w:next w:val="Normal"/>
    <w:qFormat/>
    <w:pPr>
      <w:keepNext w:val="true"/>
      <w:numPr>
        <w:ilvl w:val="1"/>
        <w:numId w:val="1"/>
      </w:numPr>
      <w:outlineLvl w:val="1"/>
    </w:pPr>
    <w:rPr>
      <w:sz w:val="28"/>
      <w:u w:val="single"/>
    </w:rPr>
  </w:style>
  <w:style w:type="paragraph" w:styleId="Nadpis3">
    <w:name w:val="Heading 3"/>
    <w:basedOn w:val="Normal"/>
    <w:next w:val="Normal"/>
    <w:qFormat/>
    <w:pPr>
      <w:keepNext w:val="true"/>
      <w:numPr>
        <w:ilvl w:val="2"/>
        <w:numId w:val="1"/>
      </w:numPr>
      <w:outlineLvl w:val="2"/>
    </w:pPr>
    <w:rPr>
      <w:sz w:val="28"/>
    </w:rPr>
  </w:style>
  <w:style w:type="paragraph" w:styleId="Nadpis4">
    <w:name w:val="Heading 4"/>
    <w:basedOn w:val="Normal"/>
    <w:next w:val="Normal"/>
    <w:qFormat/>
    <w:pPr>
      <w:keepNext w:val="true"/>
      <w:numPr>
        <w:ilvl w:val="3"/>
        <w:numId w:val="1"/>
      </w:numPr>
      <w:jc w:val="both"/>
      <w:outlineLvl w:val="3"/>
    </w:pPr>
    <w:rPr>
      <w:sz w:val="28"/>
    </w:rPr>
  </w:style>
  <w:style w:type="paragraph" w:styleId="Nadpis5">
    <w:name w:val="Heading 5"/>
    <w:basedOn w:val="Normal"/>
    <w:next w:val="Normal"/>
    <w:qFormat/>
    <w:pPr>
      <w:keepNext w:val="true"/>
      <w:numPr>
        <w:ilvl w:val="4"/>
        <w:numId w:val="1"/>
      </w:numPr>
      <w:ind w:left="0" w:right="0" w:firstLine="709"/>
      <w:outlineLvl w:val="4"/>
    </w:pPr>
    <w:rPr>
      <w:sz w:val="28"/>
    </w:rPr>
  </w:style>
  <w:style w:type="paragraph" w:styleId="Nadpis6">
    <w:name w:val="Heading 6"/>
    <w:basedOn w:val="Normal"/>
    <w:next w:val="Normal"/>
    <w:qFormat/>
    <w:pPr>
      <w:keepNext w:val="true"/>
      <w:numPr>
        <w:ilvl w:val="5"/>
        <w:numId w:val="1"/>
      </w:numPr>
      <w:outlineLvl w:val="5"/>
    </w:pPr>
    <w:rPr>
      <w:sz w:val="32"/>
    </w:rPr>
  </w:style>
  <w:style w:type="paragraph" w:styleId="Nadpis7">
    <w:name w:val="Heading 7"/>
    <w:basedOn w:val="Normal"/>
    <w:next w:val="Normal"/>
    <w:qFormat/>
    <w:pPr>
      <w:keepNext w:val="true"/>
      <w:numPr>
        <w:ilvl w:val="6"/>
        <w:numId w:val="1"/>
      </w:numPr>
      <w:jc w:val="center"/>
      <w:outlineLvl w:val="6"/>
    </w:pPr>
    <w:rPr>
      <w:b/>
      <w:bCs/>
      <w:sz w:val="32"/>
    </w:rPr>
  </w:style>
  <w:style w:type="paragraph" w:styleId="Nadpis8">
    <w:name w:val="Heading 8"/>
    <w:basedOn w:val="Normal"/>
    <w:next w:val="Normal"/>
    <w:qFormat/>
    <w:pPr>
      <w:keepNext w:val="true"/>
      <w:numPr>
        <w:ilvl w:val="7"/>
        <w:numId w:val="1"/>
      </w:numPr>
      <w:jc w:val="center"/>
      <w:outlineLvl w:val="7"/>
    </w:pPr>
    <w:rPr>
      <w:b/>
      <w:bCs/>
      <w:sz w:val="28"/>
    </w:rPr>
  </w:style>
  <w:style w:type="paragraph" w:styleId="Nadpis9">
    <w:name w:val="Heading 9"/>
    <w:basedOn w:val="Normal"/>
    <w:next w:val="Normal"/>
    <w:qFormat/>
    <w:pPr>
      <w:keepNext w:val="true"/>
      <w:numPr>
        <w:ilvl w:val="8"/>
        <w:numId w:val="1"/>
      </w:numPr>
      <w:outlineLvl w:val="8"/>
    </w:pPr>
    <w:rPr>
      <w:b/>
      <w:bCs/>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color w:val="000000"/>
      <w:sz w:val="22"/>
      <w:szCs w:val="22"/>
    </w:rPr>
  </w:style>
  <w:style w:type="character" w:styleId="WW8Num5z0">
    <w:name w:val="WW8Num5z0"/>
    <w:qFormat/>
    <w:rPr>
      <w:rFonts w:ascii="Arial" w:hAnsi="Arial" w:cs="Arial"/>
      <w:sz w:val="22"/>
      <w:szCs w:val="22"/>
    </w:rPr>
  </w:style>
  <w:style w:type="character" w:styleId="WW8Num6z0">
    <w:name w:val="WW8Num6z0"/>
    <w:qFormat/>
    <w:rPr>
      <w:rFonts w:ascii="Arial" w:hAnsi="Arial" w:eastAsia="Times New Roman" w:cs="Times New Roman"/>
      <w:bCs/>
      <w:i/>
      <w:color w:val="000000"/>
      <w:sz w:val="22"/>
      <w:szCs w:val="22"/>
    </w:rPr>
  </w:style>
  <w:style w:type="character" w:styleId="WW8Num7z0">
    <w:name w:val="WW8Num7z0"/>
    <w:qFormat/>
    <w:rPr>
      <w:rFonts w:ascii="Arial" w:hAnsi="Arial" w:cs="Arial"/>
      <w:b w:val="false"/>
      <w:color w:val="000000"/>
      <w:sz w:val="22"/>
      <w:szCs w:val="22"/>
      <w:u w:val="none"/>
    </w:rPr>
  </w:style>
  <w:style w:type="character" w:styleId="WW8Num8z0">
    <w:name w:val="WW8Num8z0"/>
    <w:qFormat/>
    <w:rPr>
      <w:rFonts w:ascii="Arial" w:hAnsi="Arial" w:cs="Arial"/>
      <w:i w:val="false"/>
      <w:iCs/>
      <w:sz w:val="22"/>
      <w:szCs w:val="22"/>
    </w:rPr>
  </w:style>
  <w:style w:type="character" w:styleId="WW8Num9z0">
    <w:name w:val="WW8Num9z0"/>
    <w:qFormat/>
    <w:rPr>
      <w:rFonts w:ascii="Arial" w:hAnsi="Arial" w:cs="Arial"/>
      <w:iCs/>
      <w:color w:val="000000"/>
      <w:sz w:val="22"/>
      <w:szCs w:val="22"/>
    </w:rPr>
  </w:style>
  <w:style w:type="character" w:styleId="WW8Num10z0">
    <w:name w:val="WW8Num10z0"/>
    <w:qFormat/>
    <w:rPr>
      <w:rFonts w:ascii="Arial" w:hAnsi="Arial" w:cs="Arial"/>
      <w:strike w:val="false"/>
      <w:dstrike w:val="false"/>
      <w:color w:val="000000"/>
      <w:sz w:val="22"/>
      <w:szCs w:val="22"/>
    </w:rPr>
  </w:style>
  <w:style w:type="character" w:styleId="WW8Num11z0">
    <w:name w:val="WW8Num11z0"/>
    <w:qFormat/>
    <w:rPr>
      <w:rFonts w:ascii="Arial" w:hAnsi="Arial" w:eastAsia="Times New Roman" w:cs="Arial"/>
      <w:i w:val="false"/>
      <w:iCs w:val="false"/>
      <w:color w:val="000000"/>
      <w:sz w:val="22"/>
      <w:szCs w:val="22"/>
    </w:rPr>
  </w:style>
  <w:style w:type="character" w:styleId="WW8Num12z0">
    <w:name w:val="WW8Num12z0"/>
    <w:qFormat/>
    <w:rPr>
      <w:rFonts w:ascii="Arial" w:hAnsi="Arial" w:cs="Arial"/>
      <w:sz w:val="22"/>
      <w:szCs w:val="22"/>
    </w:rPr>
  </w:style>
  <w:style w:type="character" w:styleId="WW8Num13z0">
    <w:name w:val="WW8Num13z0"/>
    <w:qFormat/>
    <w:rPr>
      <w:rFonts w:ascii="Arial" w:hAnsi="Arial" w:cs="Arial"/>
      <w:i w:val="false"/>
      <w:iCs w:val="false"/>
      <w:sz w:val="22"/>
      <w:szCs w:val="22"/>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15z0">
    <w:name w:val="WW8Num15z0"/>
    <w:qFormat/>
    <w:rPr>
      <w:rFonts w:ascii="Arial" w:hAnsi="Arial" w:cs="Arial"/>
      <w:sz w:val="22"/>
      <w:szCs w:val="22"/>
    </w:rPr>
  </w:style>
  <w:style w:type="character" w:styleId="WW8Num16z0">
    <w:name w:val="WW8Num16z0"/>
    <w:qFormat/>
    <w:rPr>
      <w:rFonts w:ascii="Arial" w:hAnsi="Arial" w:cs="Arial"/>
      <w:i/>
      <w:color w:val="00B0F0"/>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andardnpsmoodstavce">
    <w:name w:val="Standardní písmo odstavce"/>
    <w:qFormat/>
    <w:rPr/>
  </w:style>
  <w:style w:type="character" w:styleId="Silnzdraznn">
    <w:name w:val="Silné zdůraznění"/>
    <w:qFormat/>
    <w:rPr>
      <w:b/>
      <w:bCs/>
    </w:rPr>
  </w:style>
  <w:style w:type="character" w:styleId="Internetovodkaz">
    <w:name w:val="Internetový odkaz"/>
    <w:rPr>
      <w:color w:val="0000FF"/>
      <w:u w:val="single"/>
    </w:rPr>
  </w:style>
  <w:style w:type="character" w:styleId="Odkaznakoment">
    <w:name w:val="Odkaz na komentář"/>
    <w:qFormat/>
    <w:rPr>
      <w:sz w:val="16"/>
      <w:szCs w:val="16"/>
    </w:rPr>
  </w:style>
  <w:style w:type="character" w:styleId="TextkomenteChar">
    <w:name w:val="Text komentáře Char"/>
    <w:basedOn w:val="Standardnpsmoodstavce"/>
    <w:qFormat/>
    <w:rPr/>
  </w:style>
  <w:style w:type="character" w:styleId="PedmtkomenteChar">
    <w:name w:val="Předmět komentáře Char"/>
    <w:qFormat/>
    <w:rPr>
      <w:b/>
      <w:bCs/>
    </w:rPr>
  </w:style>
  <w:style w:type="character" w:styleId="RozloendokumentuChar">
    <w:name w:val="Rozložení dokumentu Char"/>
    <w:qFormat/>
    <w:rPr>
      <w:rFonts w:ascii="Tahoma" w:hAnsi="Tahoma" w:cs="Tahoma"/>
      <w:sz w:val="16"/>
      <w:szCs w:val="16"/>
    </w:rPr>
  </w:style>
  <w:style w:type="character" w:styleId="Znakypropoznmkupodarou">
    <w:name w:val="Znaky pro poznámku pod čarou"/>
    <w:qFormat/>
    <w:rPr>
      <w:vertAlign w:val="superscript"/>
    </w:rPr>
  </w:style>
  <w:style w:type="character" w:styleId="ZpatChar">
    <w:name w:val="Zápatí Char"/>
    <w:qFormat/>
    <w:rPr>
      <w:sz w:val="24"/>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22z0">
    <w:name w:val="WW8Num22z0"/>
    <w:qFormat/>
    <w:rPr>
      <w:rFonts w:ascii="Arial" w:hAnsi="Arial" w:eastAsia="Times New Roman" w:cs="Times New Roman"/>
      <w:bCs/>
      <w:i/>
      <w:color w:val="000000"/>
      <w:sz w:val="22"/>
      <w:szCs w:val="22"/>
    </w:rPr>
  </w:style>
  <w:style w:type="character" w:styleId="WW8Num22z1">
    <w:name w:val="WW8Num22z1"/>
    <w:qFormat/>
    <w:rPr>
      <w:rFonts w:cs="Times New Roman"/>
    </w:rPr>
  </w:style>
  <w:style w:type="character" w:styleId="WW8Num23z0">
    <w:name w:val="WW8Num23z0"/>
    <w:qFormat/>
    <w:rPr>
      <w:rFonts w:ascii="Arial" w:hAnsi="Arial" w:cs="Arial"/>
      <w:b w:val="false"/>
      <w:color w:val="000000"/>
      <w:sz w:val="22"/>
      <w:szCs w:val="22"/>
      <w:u w:val="none"/>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31z0">
    <w:name w:val="WW8Num31z0"/>
    <w:qFormat/>
    <w:rPr>
      <w:rFonts w:ascii="Arial" w:hAnsi="Arial" w:eastAsia="Times New Roman" w:cs="Arial"/>
      <w:i w:val="false"/>
      <w:iCs w:val="false"/>
      <w:color w:val="000000"/>
      <w:sz w:val="22"/>
      <w:szCs w:val="22"/>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26z0">
    <w:name w:val="WW8Num26z0"/>
    <w:qFormat/>
    <w:rPr>
      <w:rFonts w:ascii="Arial" w:hAnsi="Arial" w:cs="Arial"/>
      <w:sz w:val="22"/>
      <w:szCs w:val="22"/>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9z0">
    <w:name w:val="WW8Num19z0"/>
    <w:qFormat/>
    <w:rPr>
      <w:rFonts w:ascii="Arial" w:hAnsi="Arial" w:cs="Arial"/>
      <w:sz w:val="22"/>
      <w:szCs w:val="22"/>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8z0">
    <w:name w:val="WW8Num28z0"/>
    <w:qFormat/>
    <w:rPr>
      <w:rFonts w:ascii="Arial" w:hAnsi="Arial" w:cs="Arial"/>
      <w:i/>
      <w:color w:val="00B0F0"/>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Ukotvenpoznmkypodarou">
    <w:name w:val="Ukotvení poznámky pod čarou"/>
    <w:rPr>
      <w:vertAlign w:val="superscript"/>
    </w:rPr>
  </w:style>
  <w:style w:type="character" w:styleId="Znakyprovysvtlivky">
    <w:name w:val="Znaky pro vysvětlivky"/>
    <w:qFormat/>
    <w:rPr>
      <w:vertAlign w:val="superscript"/>
    </w:rPr>
  </w:style>
  <w:style w:type="character" w:styleId="WWZnakyprovysvtlivky">
    <w:name w:val="WW-Znaky pro vysvětlivky"/>
    <w:qFormat/>
    <w:rPr/>
  </w:style>
  <w:style w:type="paragraph" w:styleId="Nadpis">
    <w:name w:val="Nadpis"/>
    <w:basedOn w:val="Normal"/>
    <w:next w:val="Tlotextu"/>
    <w:qFormat/>
    <w:pPr>
      <w:keepNext w:val="true"/>
      <w:spacing w:before="240" w:after="120"/>
    </w:pPr>
    <w:rPr>
      <w:rFonts w:ascii="Liberation Sans;Arial" w:hAnsi="Liberation Sans;Arial" w:eastAsia="Microsoft YaHei" w:cs="Arial"/>
      <w:sz w:val="28"/>
      <w:szCs w:val="28"/>
    </w:rPr>
  </w:style>
  <w:style w:type="paragraph" w:styleId="Tlotextu">
    <w:name w:val="Body Text"/>
    <w:basedOn w:val="Normal"/>
    <w:pPr/>
    <w:rPr>
      <w:b/>
      <w:bCs/>
      <w:sz w:val="32"/>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hlav">
    <w:name w:val="Header"/>
    <w:basedOn w:val="Normal"/>
    <w:pPr>
      <w:tabs>
        <w:tab w:val="clear" w:pos="709"/>
        <w:tab w:val="center" w:pos="4536" w:leader="none"/>
        <w:tab w:val="right" w:pos="9072" w:leader="none"/>
      </w:tabs>
    </w:pPr>
    <w:rPr/>
  </w:style>
  <w:style w:type="paragraph" w:styleId="Zpat">
    <w:name w:val="Footer"/>
    <w:basedOn w:val="Normal"/>
    <w:pPr>
      <w:tabs>
        <w:tab w:val="clear" w:pos="709"/>
        <w:tab w:val="center" w:pos="4536" w:leader="none"/>
        <w:tab w:val="right" w:pos="9072" w:leader="none"/>
      </w:tabs>
    </w:pPr>
    <w:rPr>
      <w:lang w:val="cs-CZ"/>
    </w:rPr>
  </w:style>
  <w:style w:type="paragraph" w:styleId="Zkladntext2">
    <w:name w:val="Základní text 2"/>
    <w:basedOn w:val="Normal"/>
    <w:qFormat/>
    <w:pPr/>
    <w:rPr>
      <w:sz w:val="28"/>
    </w:rPr>
  </w:style>
  <w:style w:type="paragraph" w:styleId="Zkladntext3">
    <w:name w:val="Základní text 3"/>
    <w:basedOn w:val="Normal"/>
    <w:qFormat/>
    <w:pPr/>
    <w:rPr>
      <w:sz w:val="28"/>
      <w:u w:val="single"/>
    </w:rPr>
  </w:style>
  <w:style w:type="paragraph" w:styleId="Odsazentlatextu">
    <w:name w:val="Body Text Indent"/>
    <w:basedOn w:val="Normal"/>
    <w:pPr>
      <w:ind w:left="0" w:right="0" w:firstLine="708"/>
      <w:jc w:val="both"/>
    </w:pPr>
    <w:rPr>
      <w:sz w:val="28"/>
    </w:rPr>
  </w:style>
  <w:style w:type="paragraph" w:styleId="Zkladntextodsazen2">
    <w:name w:val="Základní text odsazený 2"/>
    <w:basedOn w:val="Normal"/>
    <w:qFormat/>
    <w:pPr>
      <w:ind w:left="0" w:right="0" w:firstLine="709"/>
    </w:pPr>
    <w:rPr>
      <w:sz w:val="28"/>
    </w:rPr>
  </w:style>
  <w:style w:type="paragraph" w:styleId="Textbubliny">
    <w:name w:val="Text bubliny"/>
    <w:basedOn w:val="Normal"/>
    <w:qFormat/>
    <w:pPr/>
    <w:rPr>
      <w:rFonts w:ascii="Tahoma" w:hAnsi="Tahoma" w:cs="Tahoma"/>
      <w:sz w:val="16"/>
      <w:szCs w:val="16"/>
    </w:rPr>
  </w:style>
  <w:style w:type="paragraph" w:styleId="Odstavecseseznamem">
    <w:name w:val="Odstavec se seznamem"/>
    <w:basedOn w:val="Normal"/>
    <w:qFormat/>
    <w:pPr>
      <w:ind w:left="708" w:right="0" w:hanging="0"/>
    </w:pPr>
    <w:rPr/>
  </w:style>
  <w:style w:type="paragraph" w:styleId="Styl">
    <w:name w:val="Styl"/>
    <w:qFormat/>
    <w:pPr>
      <w:widowControl w:val="false"/>
      <w:suppressAutoHyphens w:val="true"/>
      <w:autoSpaceDE w:val="false"/>
      <w:bidi w:val="0"/>
    </w:pPr>
    <w:rPr>
      <w:rFonts w:ascii="Times New Roman" w:hAnsi="Times New Roman" w:eastAsia="Times New Roman" w:cs="Times New Roman"/>
      <w:color w:val="auto"/>
      <w:sz w:val="24"/>
      <w:szCs w:val="24"/>
      <w:lang w:val="cs-CZ" w:eastAsia="zh-CN" w:bidi="ar-SA"/>
    </w:rPr>
  </w:style>
  <w:style w:type="paragraph" w:styleId="Textkomente">
    <w:name w:val="Text komentáře"/>
    <w:basedOn w:val="Normal"/>
    <w:qFormat/>
    <w:pPr/>
    <w:rPr>
      <w:sz w:val="20"/>
      <w:szCs w:val="20"/>
    </w:rPr>
  </w:style>
  <w:style w:type="paragraph" w:styleId="Pedmtkomente">
    <w:name w:val="Předmět komentáře"/>
    <w:basedOn w:val="Textkomente"/>
    <w:next w:val="Textkomente"/>
    <w:qFormat/>
    <w:pPr/>
    <w:rPr>
      <w:b/>
      <w:bCs/>
      <w:lang w:val="cs-CZ"/>
    </w:rPr>
  </w:style>
  <w:style w:type="paragraph" w:styleId="Rozloendokumentu">
    <w:name w:val="Rozložení dokumentu"/>
    <w:basedOn w:val="Normal"/>
    <w:qFormat/>
    <w:pPr/>
    <w:rPr>
      <w:rFonts w:ascii="Tahoma" w:hAnsi="Tahoma" w:cs="Tahoma"/>
      <w:sz w:val="16"/>
      <w:szCs w:val="16"/>
      <w:lang w:val="cs-CZ"/>
    </w:rPr>
  </w:style>
  <w:style w:type="paragraph" w:styleId="Zkladntextodsazen3">
    <w:name w:val="Základní text odsazený 3"/>
    <w:basedOn w:val="Normal"/>
    <w:qFormat/>
    <w:pPr>
      <w:spacing w:before="0" w:after="120"/>
      <w:ind w:left="283" w:right="0" w:hanging="0"/>
    </w:pPr>
    <w:rPr>
      <w:sz w:val="16"/>
      <w:szCs w:val="16"/>
    </w:rPr>
  </w:style>
  <w:style w:type="paragraph" w:styleId="Poznmkapodarou">
    <w:name w:val="Footnote Text"/>
    <w:basedOn w:val="Normal"/>
    <w:pPr/>
    <w:rPr>
      <w:sz w:val="20"/>
      <w:szCs w:val="20"/>
      <w:lang w:val="cs-CZ" w:eastAsia="cs-CZ"/>
    </w:rPr>
  </w:style>
  <w:style w:type="paragraph" w:styleId="NormlnIMP">
    <w:name w:val="Normální_IMP"/>
    <w:basedOn w:val="Normal"/>
    <w:qFormat/>
    <w:pPr>
      <w:suppressAutoHyphens w:val="true"/>
      <w:overflowPunct w:val="false"/>
      <w:autoSpaceDE w:val="false"/>
      <w:spacing w:lineRule="auto" w:line="228"/>
      <w:jc w:val="both"/>
      <w:textAlignment w:val="baseline"/>
    </w:pPr>
    <w:rPr>
      <w:szCs w:val="20"/>
    </w:rPr>
  </w:style>
  <w:style w:type="paragraph" w:styleId="ZkladntextIMP">
    <w:name w:val="Základní text_IMP"/>
    <w:basedOn w:val="Normal"/>
    <w:qFormat/>
    <w:pPr>
      <w:suppressAutoHyphens w:val="true"/>
      <w:overflowPunct w:val="false"/>
      <w:autoSpaceDE w:val="false"/>
      <w:spacing w:lineRule="auto" w:line="276"/>
      <w:textAlignment w:val="baseline"/>
    </w:pPr>
    <w:rPr>
      <w:szCs w:val="20"/>
    </w:rPr>
  </w:style>
  <w:style w:type="paragraph" w:styleId="Seznamoslovan">
    <w:name w:val="Seznam očíslovaný~"/>
    <w:basedOn w:val="ZkladntextIMP"/>
    <w:qFormat/>
    <w:pPr>
      <w:numPr>
        <w:ilvl w:val="0"/>
        <w:numId w:val="3"/>
      </w:numPr>
      <w:spacing w:lineRule="auto" w:line="228" w:before="0" w:after="113"/>
      <w:jc w:val="both"/>
    </w:pPr>
    <w:rPr/>
  </w:style>
  <w:style w:type="paragraph" w:styleId="Default">
    <w:name w:val="Default"/>
    <w:qFormat/>
    <w:pPr>
      <w:widowControl/>
      <w:suppressAutoHyphens w:val="true"/>
      <w:autoSpaceDE w:val="false"/>
      <w:bidi w:val="0"/>
    </w:pPr>
    <w:rPr>
      <w:rFonts w:ascii="Arial" w:hAnsi="Arial" w:eastAsia="Times New Roman" w:cs="Arial"/>
      <w:color w:val="000000"/>
      <w:sz w:val="24"/>
      <w:szCs w:val="24"/>
      <w:lang w:val="cs-CZ"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105</TotalTime>
  <Application>LibreOffice/7.1.2.2$Windows_X86_64 LibreOffice_project/8a45595d069ef5570103caea1b71cc9d82b2aae4</Application>
  <AppVersion>15.0000</AppVersion>
  <Pages>8</Pages>
  <Words>1004</Words>
  <Characters>5564</Characters>
  <CharactersWithSpaces>6644</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Noťas OÚ</dc:creator>
  <dc:description/>
  <dc:language>cs-CZ</dc:language>
  <cp:lastModifiedBy/>
  <dcterms:modified xsi:type="dcterms:W3CDTF">2024-12-02T20:45:54Z</dcterms:modified>
  <cp:revision>26</cp:revision>
  <dc:subject/>
  <dc:title>Ivan Hájek</dc:title>
</cp:coreProperties>
</file>