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20" w:before="240" w:lineRule="auto"/>
        <w:rPr/>
      </w:pPr>
      <w:r w:rsidDel="00000000" w:rsidR="00000000" w:rsidRPr="00000000">
        <w:rPr>
          <w:rtl w:val="0"/>
        </w:rPr>
        <w:t xml:space="preserve">Obec Hluboké Mašůvky</w:t>
        <w:br w:type="textWrapping"/>
        <w:t xml:space="preserve">Zastupitelstvo obce Hluboké Mašůvky</w:t>
      </w:r>
    </w:p>
    <w:p w:rsidR="00000000" w:rsidDel="00000000" w:rsidP="00000000" w:rsidRDefault="00000000" w:rsidRPr="00000000" w14:paraId="00000002">
      <w:pPr>
        <w:pStyle w:val="Heading1"/>
        <w:numPr>
          <w:ilvl w:val="0"/>
          <w:numId w:val="1"/>
        </w:numPr>
        <w:ind w:left="0" w:firstLine="0"/>
        <w:rPr/>
      </w:pPr>
      <w:r w:rsidDel="00000000" w:rsidR="00000000" w:rsidRPr="00000000">
        <w:rPr>
          <w:rtl w:val="0"/>
        </w:rPr>
        <w:t xml:space="preserve">Obecně závazná vyhláška obce Hluboké Mašůvky</w:t>
        <w:br w:type="textWrapping"/>
        <w:t xml:space="preserve">o místním poplatku ze psů</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2"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Zastupitelstvo obce Hluboké Mašůvky se na svém zasedání dne 16. prosince 2024 us</w:t>
      </w:r>
      <w:r w:rsidDel="00000000" w:rsidR="00000000" w:rsidRPr="00000000">
        <w:rPr>
          <w:rFonts w:ascii="Arial" w:cs="Arial" w:eastAsia="Arial" w:hAnsi="Arial"/>
          <w:sz w:val="22"/>
          <w:szCs w:val="22"/>
          <w:rtl w:val="0"/>
        </w:rPr>
        <w:t xml:space="preserve">nesením č. 14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00000" w:rsidDel="00000000" w:rsidP="00000000" w:rsidRDefault="00000000" w:rsidRPr="00000000" w14:paraId="00000004">
      <w:pPr>
        <w:pStyle w:val="Heading2"/>
        <w:numPr>
          <w:ilvl w:val="1"/>
          <w:numId w:val="1"/>
        </w:numPr>
        <w:ind w:left="0" w:firstLine="0"/>
        <w:rPr/>
      </w:pPr>
      <w:r w:rsidDel="00000000" w:rsidR="00000000" w:rsidRPr="00000000">
        <w:rPr>
          <w:rtl w:val="0"/>
        </w:rPr>
        <w:t xml:space="preserve">Čl. 1</w:t>
        <w:br w:type="textWrapping"/>
        <w:t xml:space="preserve">Úvodní ustanovení</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Obec Hluboké Mašůvky touto vyhláškou zavádí místní poplatek ze psů (dále jen „poplatek“).</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Poplatkovým obdobím poplatku je kalendářní rok</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Správcem poplatku je obecní úřad</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8">
      <w:pPr>
        <w:pStyle w:val="Heading2"/>
        <w:numPr>
          <w:ilvl w:val="1"/>
          <w:numId w:val="1"/>
        </w:numPr>
        <w:ind w:left="0" w:firstLine="0"/>
        <w:rPr/>
      </w:pPr>
      <w:r w:rsidDel="00000000" w:rsidR="00000000" w:rsidRPr="00000000">
        <w:rPr>
          <w:rtl w:val="0"/>
        </w:rPr>
        <w:t xml:space="preserve">Čl. 2</w:t>
        <w:br w:type="textWrapping"/>
        <w:t xml:space="preserve">Předmět poplatku a poplatník</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ze psů se platí ze psů starších 3 měsíců</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B">
      <w:pPr>
        <w:pStyle w:val="Heading2"/>
        <w:numPr>
          <w:ilvl w:val="1"/>
          <w:numId w:val="1"/>
        </w:numPr>
        <w:ind w:left="0" w:firstLine="0"/>
        <w:rPr/>
      </w:pPr>
      <w:r w:rsidDel="00000000" w:rsidR="00000000" w:rsidRPr="00000000">
        <w:rPr>
          <w:rtl w:val="0"/>
        </w:rPr>
        <w:t xml:space="preserve">Čl. 3</w:t>
        <w:br w:type="textWrapping"/>
        <w:t xml:space="preserve">Ohlašovací povinnost</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Poplatník je povinen podat správci poplatku ohlášení nejpozději do 15 dnů ode dne, kdy se pes stal starším 3 měsíců, nebo ode dne, kdy nabyl psa staršího 3 měsíců; údaje uváděné v ohlášení upravuje zákon</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4"/>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Dojde-li ke změně údajů uvedených v ohlášení, je poplatník povinen tuto změnu oznámit do 15 dnů ode dne, kdy nastala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5"/>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E">
      <w:pPr>
        <w:pStyle w:val="Heading2"/>
        <w:numPr>
          <w:ilvl w:val="1"/>
          <w:numId w:val="1"/>
        </w:numPr>
        <w:ind w:left="0" w:firstLine="0"/>
        <w:rPr/>
      </w:pPr>
      <w:r w:rsidDel="00000000" w:rsidR="00000000" w:rsidRPr="00000000">
        <w:rPr>
          <w:rtl w:val="0"/>
        </w:rPr>
        <w:t xml:space="preserve">Čl. 4</w:t>
        <w:br w:type="textWrapping"/>
        <w:t xml:space="preserve">Sazba poplatku</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Sazba poplatku za kalendářní rok činí:</w:t>
      </w:r>
    </w:p>
    <w:p w:rsidR="00000000" w:rsidDel="00000000" w:rsidP="00000000" w:rsidRDefault="00000000" w:rsidRPr="00000000" w14:paraId="000000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jednoho psa 200 Kč,</w:t>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druhého a každého dalšího psa téhož držitele 200 Kč,</w:t>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psa, jehož držitelem je osoba starší 65 let, 200 Kč,</w:t>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druhého a každého dalšího psa téhož držitele, kterým je osoba starší 65 let, 200 Kč.</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případě trvání poplatkové povinnosti po dobu kratší než jeden rok se platí poplatek v poměrné výši, která odpovídá počtu i započatých kalendářních měsíců</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6"/>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5">
      <w:pPr>
        <w:pStyle w:val="Heading2"/>
        <w:numPr>
          <w:ilvl w:val="1"/>
          <w:numId w:val="1"/>
        </w:numPr>
        <w:ind w:left="0" w:firstLine="0"/>
        <w:rPr/>
      </w:pPr>
      <w:r w:rsidDel="00000000" w:rsidR="00000000" w:rsidRPr="00000000">
        <w:rPr>
          <w:rtl w:val="0"/>
        </w:rPr>
        <w:t xml:space="preserve">Čl. 5</w:t>
        <w:br w:type="textWrapping"/>
        <w:t xml:space="preserve">Splatnost poplatku</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je splatný nejpozději do 30. března příslušného kalendářního roku.</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Vznikne-li poplatková povinnost po datu splatnosti uvedeném v odstavci 1, je poplatek splatný nejpozději do patnáctého dne měsíce, který následuje po měsíci, ve kterém poplatková povinnost vznikla.</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Lhůta splatnosti neskončí poplatníkovi dříve než lhůta pro podání ohlášení podle čl. 3 odst. 1 této vyhlášky.</w:t>
      </w:r>
    </w:p>
    <w:p w:rsidR="00000000" w:rsidDel="00000000" w:rsidP="00000000" w:rsidRDefault="00000000" w:rsidRPr="00000000" w14:paraId="00000019">
      <w:pPr>
        <w:pStyle w:val="Heading2"/>
        <w:numPr>
          <w:ilvl w:val="1"/>
          <w:numId w:val="1"/>
        </w:numPr>
        <w:ind w:left="0" w:firstLine="0"/>
        <w:rPr/>
      </w:pPr>
      <w:r w:rsidDel="00000000" w:rsidR="00000000" w:rsidRPr="00000000">
        <w:rPr>
          <w:rtl w:val="0"/>
        </w:rPr>
        <w:t xml:space="preserve">Čl. 6</w:t>
        <w:br w:type="textWrapping"/>
        <w:t xml:space="preserve"> Osvobození </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případě, že poplatník nesplní povinnost ohlásit údaj rozhodný pro osvobození ve lhůtách stanovených touto vyhláškou nebo zákonem, nárok na osvobození zaniká</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8"/>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C">
      <w:pPr>
        <w:pStyle w:val="Heading2"/>
        <w:numPr>
          <w:ilvl w:val="1"/>
          <w:numId w:val="1"/>
        </w:numPr>
        <w:ind w:left="0" w:firstLine="0"/>
        <w:rPr/>
      </w:pPr>
      <w:r w:rsidDel="00000000" w:rsidR="00000000" w:rsidRPr="00000000">
        <w:rPr>
          <w:rtl w:val="0"/>
        </w:rPr>
        <w:t xml:space="preserve">Čl. 7</w:t>
        <w:br w:type="textWrapping"/>
        <w:t xml:space="preserve"> Přechodné a zrušovací ustanovení </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Poplatkové povinnosti vzniklé před nabytím účinnosti této vyhlášky se posuzují podle dosavadních právních předpisů.</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Zrušuje se </w:t>
      </w:r>
      <w:r w:rsidDel="00000000" w:rsidR="00000000" w:rsidRPr="00000000">
        <w:rPr>
          <w:rFonts w:ascii="Arial" w:cs="Arial" w:eastAsia="Arial" w:hAnsi="Arial"/>
          <w:sz w:val="22"/>
          <w:szCs w:val="22"/>
          <w:rtl w:val="0"/>
        </w:rPr>
        <w:t xml:space="preserve">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becně závazná vyhláška obce Hluboké Mašůvky č. 2/2020, o místním poplatku ze psů, ze dne </w:t>
      </w:r>
      <w:r w:rsidDel="00000000" w:rsidR="00000000" w:rsidRPr="00000000">
        <w:rPr>
          <w:rFonts w:ascii="Arial" w:cs="Arial" w:eastAsia="Arial" w:hAnsi="Arial"/>
          <w:sz w:val="22"/>
          <w:szCs w:val="22"/>
          <w:rtl w:val="0"/>
        </w:rPr>
        <w:t xml:space="preserve">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června 2020.</w:t>
      </w:r>
    </w:p>
    <w:p w:rsidR="00000000" w:rsidDel="00000000" w:rsidP="00000000" w:rsidRDefault="00000000" w:rsidRPr="00000000" w14:paraId="0000001F">
      <w:pPr>
        <w:pStyle w:val="Heading2"/>
        <w:numPr>
          <w:ilvl w:val="1"/>
          <w:numId w:val="1"/>
        </w:numPr>
        <w:ind w:left="0" w:firstLine="0"/>
        <w:rPr/>
      </w:pPr>
      <w:r w:rsidDel="00000000" w:rsidR="00000000" w:rsidRPr="00000000">
        <w:rPr>
          <w:rtl w:val="0"/>
        </w:rPr>
        <w:t xml:space="preserve">Čl. 8</w:t>
        <w:br w:type="textWrapping"/>
        <w:t xml:space="preserve">Účinnost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Tato vyhláška nabývá účinnosti dnem 1. ledna 2025.</w:t>
      </w:r>
    </w:p>
    <w:tbl>
      <w:tblPr>
        <w:tblStyle w:val="Table1"/>
        <w:tblW w:w="9641.0" w:type="dxa"/>
        <w:jc w:val="left"/>
        <w:tblInd w:w="-55.0" w:type="dxa"/>
        <w:tblLayout w:type="fixed"/>
        <w:tblLook w:val="0000"/>
      </w:tblPr>
      <w:tblGrid>
        <w:gridCol w:w="4820"/>
        <w:gridCol w:w="4821"/>
        <w:tblGridChange w:id="0">
          <w:tblGrid>
            <w:gridCol w:w="4820"/>
            <w:gridCol w:w="4821"/>
          </w:tblGrid>
        </w:tblGridChange>
      </w:tblGrid>
      <w:tr>
        <w:trPr>
          <w:cantSplit w:val="0"/>
          <w:trHeight w:val="1134" w:hRule="atLeast"/>
          <w:tblHeader w:val="0"/>
        </w:trPr>
        <w:tc>
          <w:tcPr>
            <w:shd w:fill="auto" w:val="clear"/>
            <w:vAlign w:val="bottom"/>
          </w:tcPr>
          <w:p w:rsidR="00000000" w:rsidDel="00000000" w:rsidP="00000000" w:rsidRDefault="00000000" w:rsidRPr="00000000" w14:paraId="00000021">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Leona Kučerová v. r.</w:t>
              <w:br w:type="textWrapping"/>
              <w:t xml:space="preserve"> starostka </w:t>
            </w:r>
          </w:p>
        </w:tc>
        <w:tc>
          <w:tcPr>
            <w:shd w:fill="auto" w:val="clear"/>
            <w:vAlign w:val="bottom"/>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Ing. Jiří Malec v. r.</w:t>
              <w:br w:type="textWrapping"/>
              <w:t xml:space="preserve"> místostarosta </w:t>
            </w:r>
          </w:p>
        </w:tc>
      </w:tr>
    </w:tbl>
    <w:p w:rsidR="00000000" w:rsidDel="00000000" w:rsidP="00000000" w:rsidRDefault="00000000" w:rsidRPr="00000000" w14:paraId="00000023">
      <w:pPr>
        <w:rPr/>
      </w:pPr>
      <w:r w:rsidDel="00000000" w:rsidR="00000000" w:rsidRPr="00000000">
        <w:rPr>
          <w:rtl w:val="0"/>
        </w:rPr>
      </w:r>
    </w:p>
    <w:sectPr>
      <w:pgSz w:h="16834" w:w="11909"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Liberation Serif"/>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2 odst. 5 zákona o místních poplatcích</w:t>
      </w:r>
    </w:p>
  </w:footnote>
  <w:footnote w:id="1">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15 odst. 1 zákona o místních poplatcích</w:t>
      </w:r>
    </w:p>
  </w:footnote>
  <w:footnote w:id="2">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2 odst. 1 a 4 zákona o místních poplatcích</w:t>
      </w:r>
    </w:p>
  </w:footnote>
  <w:footnote w:id="3">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2 odst. 2 zákona o místních poplatcích</w:t>
      </w:r>
    </w:p>
  </w:footnote>
  <w:footnote w:id="4">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14a odst. 1 a 2 zákona o místních poplatcích; v ohlášení poplatník uvede zejména své identifikační údaje a skutečnosti rozhodné pro stanovení poplatku</w:t>
      </w:r>
    </w:p>
  </w:footnote>
  <w:footnote w:id="5">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14a odst. 4 zákona o místních poplatcích</w:t>
      </w:r>
    </w:p>
  </w:footnote>
  <w:footnote w:id="6">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2 odst. 3 zákona o místních poplatcích</w:t>
      </w:r>
    </w:p>
  </w:footnote>
  <w:footnote w:id="7">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2 odst. 2 zákona o místních poplatcích</w:t>
      </w:r>
    </w:p>
  </w:footnote>
  <w:footnote w:id="8">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14a odst. 6 zákona o místních poplatcích</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38" w:before="238" w:lineRule="auto"/>
      <w:ind w:left="0" w:firstLine="0"/>
      <w:jc w:val="center"/>
    </w:pPr>
    <w:rPr>
      <w:rFonts w:ascii="Arial" w:cs="Arial" w:eastAsia="Arial" w:hAnsi="Arial"/>
      <w:b w:val="1"/>
      <w:sz w:val="24"/>
      <w:szCs w:val="24"/>
    </w:rPr>
  </w:style>
  <w:style w:type="paragraph" w:styleId="Heading2">
    <w:name w:val="heading 2"/>
    <w:basedOn w:val="Normal"/>
    <w:next w:val="Normal"/>
    <w:pPr>
      <w:keepNext w:val="1"/>
      <w:spacing w:after="120" w:before="360" w:line="276" w:lineRule="auto"/>
      <w:ind w:left="0" w:firstLine="0"/>
      <w:jc w:val="center"/>
    </w:pPr>
    <w:rPr>
      <w:rFonts w:ascii="Arial" w:cs="Arial" w:eastAsia="Arial" w:hAnsi="Arial"/>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Arial" w:cs="Arial" w:eastAsia="Arial" w:hAnsi="Arial"/>
      <w:b w:val="1"/>
      <w:sz w:val="24"/>
      <w:szCs w:val="2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38" w:before="238" w:lineRule="auto"/>
      <w:ind w:left="0" w:firstLine="0"/>
      <w:jc w:val="center"/>
    </w:pPr>
    <w:rPr>
      <w:rFonts w:ascii="Arial" w:cs="Arial" w:eastAsia="Arial" w:hAnsi="Arial"/>
      <w:b w:val="1"/>
      <w:sz w:val="24"/>
      <w:szCs w:val="24"/>
    </w:rPr>
  </w:style>
  <w:style w:type="paragraph" w:styleId="Heading2">
    <w:name w:val="heading 2"/>
    <w:basedOn w:val="Normal"/>
    <w:next w:val="Normal"/>
    <w:pPr>
      <w:keepNext w:val="1"/>
      <w:spacing w:after="120" w:before="360" w:line="276" w:lineRule="auto"/>
      <w:ind w:left="0" w:firstLine="0"/>
      <w:jc w:val="center"/>
    </w:pPr>
    <w:rPr>
      <w:rFonts w:ascii="Arial" w:cs="Arial" w:eastAsia="Arial" w:hAnsi="Arial"/>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Arial" w:cs="Arial" w:eastAsia="Arial" w:hAnsi="Arial"/>
      <w:b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oG9uyeoF+MAkVLB2g8krgYFZLA==">CgMxLjA4AHIhMXozSjliTV8xdE9BZzk1Z2M5OTBFWnhlclpINVJhRWQ2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