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0384" w14:textId="77777777" w:rsidR="000F2886" w:rsidRPr="00B020ED" w:rsidRDefault="00000000">
      <w:pPr>
        <w:pStyle w:val="Nzev"/>
        <w:rPr>
          <w:rFonts w:asciiTheme="minorHAnsi" w:hAnsiTheme="minorHAnsi" w:cstheme="minorHAnsi"/>
          <w:sz w:val="32"/>
          <w:szCs w:val="32"/>
        </w:rPr>
      </w:pPr>
      <w:r w:rsidRPr="00B020ED">
        <w:rPr>
          <w:rFonts w:asciiTheme="minorHAnsi" w:hAnsiTheme="minorHAnsi" w:cstheme="minorHAnsi"/>
          <w:sz w:val="32"/>
          <w:szCs w:val="32"/>
        </w:rPr>
        <w:t>Obec Borek</w:t>
      </w:r>
      <w:r w:rsidRPr="00B020ED">
        <w:rPr>
          <w:rFonts w:asciiTheme="minorHAnsi" w:hAnsiTheme="minorHAnsi" w:cstheme="minorHAnsi"/>
          <w:sz w:val="32"/>
          <w:szCs w:val="32"/>
        </w:rPr>
        <w:br/>
        <w:t>Zastupitelstvo obce Borek</w:t>
      </w:r>
    </w:p>
    <w:p w14:paraId="66739B91" w14:textId="507617B0" w:rsidR="000F2886" w:rsidRPr="00B020ED" w:rsidRDefault="00000000">
      <w:pPr>
        <w:pStyle w:val="Nadpis1"/>
        <w:rPr>
          <w:rFonts w:asciiTheme="minorHAnsi" w:hAnsiTheme="minorHAnsi" w:cstheme="minorHAnsi"/>
          <w:sz w:val="32"/>
          <w:szCs w:val="32"/>
        </w:rPr>
      </w:pPr>
      <w:r w:rsidRPr="00B020ED">
        <w:rPr>
          <w:rFonts w:asciiTheme="minorHAnsi" w:hAnsiTheme="minorHAnsi" w:cstheme="minorHAnsi"/>
          <w:sz w:val="32"/>
          <w:szCs w:val="32"/>
        </w:rPr>
        <w:t>Obecně závazná vyhláška obce Borek</w:t>
      </w:r>
      <w:r w:rsidR="0057683A">
        <w:rPr>
          <w:rFonts w:asciiTheme="minorHAnsi" w:hAnsiTheme="minorHAnsi" w:cstheme="minorHAnsi"/>
          <w:sz w:val="32"/>
          <w:szCs w:val="32"/>
        </w:rPr>
        <w:t xml:space="preserve"> č. 2/2025</w:t>
      </w:r>
      <w:r w:rsidRPr="00B020ED">
        <w:rPr>
          <w:rFonts w:asciiTheme="minorHAnsi" w:hAnsiTheme="minorHAnsi" w:cstheme="minorHAnsi"/>
          <w:sz w:val="32"/>
          <w:szCs w:val="32"/>
        </w:rPr>
        <w:br/>
        <w:t>o místním poplatku ze psů</w:t>
      </w:r>
    </w:p>
    <w:p w14:paraId="7C2407DA" w14:textId="77777777" w:rsidR="000F2886" w:rsidRPr="00B020ED" w:rsidRDefault="00000000">
      <w:pPr>
        <w:pStyle w:val="UvodniVeta"/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Zastupitelstvo obce Borek se na svém zasedání dne 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D4E31E8" w14:textId="77777777" w:rsidR="000F2886" w:rsidRPr="00B020ED" w:rsidRDefault="00000000">
      <w:pPr>
        <w:pStyle w:val="Nadpis2"/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Čl. 1</w:t>
      </w:r>
      <w:r w:rsidRPr="00B020ED">
        <w:rPr>
          <w:rFonts w:asciiTheme="minorHAnsi" w:hAnsiTheme="minorHAnsi" w:cstheme="minorHAnsi"/>
        </w:rPr>
        <w:br/>
        <w:t>Úvodní ustanovení</w:t>
      </w:r>
    </w:p>
    <w:p w14:paraId="0BDD4091" w14:textId="77777777" w:rsidR="000F2886" w:rsidRPr="00B020ED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Obec Borek touto vyhláškou zavádí místní poplatek ze psů (dále jen „poplatek“).</w:t>
      </w:r>
    </w:p>
    <w:p w14:paraId="42029F64" w14:textId="77777777" w:rsidR="000F2886" w:rsidRPr="00B020ED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Poplatkovým obdobím poplatku je kalendářní rok</w:t>
      </w:r>
      <w:r w:rsidRPr="00B020ED">
        <w:rPr>
          <w:rStyle w:val="Znakapoznpodarou"/>
          <w:rFonts w:asciiTheme="minorHAnsi" w:hAnsiTheme="minorHAnsi" w:cstheme="minorHAnsi"/>
        </w:rPr>
        <w:footnoteReference w:id="1"/>
      </w:r>
      <w:r w:rsidRPr="00B020ED">
        <w:rPr>
          <w:rFonts w:asciiTheme="minorHAnsi" w:hAnsiTheme="minorHAnsi" w:cstheme="minorHAnsi"/>
        </w:rPr>
        <w:t>.</w:t>
      </w:r>
    </w:p>
    <w:p w14:paraId="79A99950" w14:textId="77777777" w:rsidR="000F2886" w:rsidRPr="00B020ED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Správcem poplatku je obecní úřad</w:t>
      </w:r>
      <w:r w:rsidRPr="00B020ED">
        <w:rPr>
          <w:rStyle w:val="Znakapoznpodarou"/>
          <w:rFonts w:asciiTheme="minorHAnsi" w:hAnsiTheme="minorHAnsi" w:cstheme="minorHAnsi"/>
        </w:rPr>
        <w:footnoteReference w:id="2"/>
      </w:r>
      <w:r w:rsidRPr="00B020ED">
        <w:rPr>
          <w:rFonts w:asciiTheme="minorHAnsi" w:hAnsiTheme="minorHAnsi" w:cstheme="minorHAnsi"/>
        </w:rPr>
        <w:t>.</w:t>
      </w:r>
    </w:p>
    <w:p w14:paraId="7A6B9808" w14:textId="77777777" w:rsidR="000F2886" w:rsidRPr="00B020ED" w:rsidRDefault="00000000">
      <w:pPr>
        <w:pStyle w:val="Nadpis2"/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Čl. 2</w:t>
      </w:r>
      <w:r w:rsidRPr="00B020ED">
        <w:rPr>
          <w:rFonts w:asciiTheme="minorHAnsi" w:hAnsiTheme="minorHAnsi" w:cstheme="minorHAnsi"/>
        </w:rPr>
        <w:br/>
        <w:t>Předmět poplatku a poplatník</w:t>
      </w:r>
    </w:p>
    <w:p w14:paraId="0CB4626C" w14:textId="77777777" w:rsidR="000F2886" w:rsidRPr="00B020ED" w:rsidRDefault="00000000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Poplatek platí držitel psa, kterým je pro účely tohoto poplatku osoba, která je přihlášená nebo má sídlo na území České republiky (dále jen „poplatník“); poplatek platí poplatník obci příslušné podle svého místa přihlášení nebo sídla</w:t>
      </w:r>
      <w:r w:rsidRPr="00B020ED">
        <w:rPr>
          <w:rStyle w:val="Znakapoznpodarou"/>
          <w:rFonts w:asciiTheme="minorHAnsi" w:hAnsiTheme="minorHAnsi" w:cstheme="minorHAnsi"/>
        </w:rPr>
        <w:footnoteReference w:id="3"/>
      </w:r>
      <w:r w:rsidRPr="00B020ED">
        <w:rPr>
          <w:rFonts w:asciiTheme="minorHAnsi" w:hAnsiTheme="minorHAnsi" w:cstheme="minorHAnsi"/>
        </w:rPr>
        <w:t>.</w:t>
      </w:r>
    </w:p>
    <w:p w14:paraId="7F3071EB" w14:textId="77777777" w:rsidR="000F2886" w:rsidRPr="00B020ED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Poplatek se platí ze psů starších 3 měsíců</w:t>
      </w:r>
      <w:r w:rsidRPr="00B020ED">
        <w:rPr>
          <w:rStyle w:val="Znakapoznpodarou"/>
          <w:rFonts w:asciiTheme="minorHAnsi" w:hAnsiTheme="minorHAnsi" w:cstheme="minorHAnsi"/>
        </w:rPr>
        <w:footnoteReference w:id="4"/>
      </w:r>
      <w:r w:rsidRPr="00B020ED">
        <w:rPr>
          <w:rFonts w:asciiTheme="minorHAnsi" w:hAnsiTheme="minorHAnsi" w:cstheme="minorHAnsi"/>
        </w:rPr>
        <w:t>.</w:t>
      </w:r>
    </w:p>
    <w:p w14:paraId="008F366B" w14:textId="77777777" w:rsidR="000F2886" w:rsidRPr="00B020ED" w:rsidRDefault="00000000">
      <w:pPr>
        <w:pStyle w:val="Nadpis2"/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Čl. 3</w:t>
      </w:r>
      <w:r w:rsidRPr="00B020ED">
        <w:rPr>
          <w:rFonts w:asciiTheme="minorHAnsi" w:hAnsiTheme="minorHAnsi" w:cstheme="minorHAnsi"/>
        </w:rPr>
        <w:br/>
        <w:t>Ohlašovací povinnost</w:t>
      </w:r>
    </w:p>
    <w:p w14:paraId="112745AB" w14:textId="77777777" w:rsidR="000F2886" w:rsidRPr="00B020ED" w:rsidRDefault="00000000">
      <w:pPr>
        <w:pStyle w:val="Odstavec"/>
        <w:numPr>
          <w:ilvl w:val="0"/>
          <w:numId w:val="3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B020ED">
        <w:rPr>
          <w:rStyle w:val="Znakapoznpodarou"/>
          <w:rFonts w:asciiTheme="minorHAnsi" w:hAnsiTheme="minorHAnsi" w:cstheme="minorHAnsi"/>
        </w:rPr>
        <w:footnoteReference w:id="5"/>
      </w:r>
      <w:r w:rsidRPr="00B020ED">
        <w:rPr>
          <w:rFonts w:asciiTheme="minorHAnsi" w:hAnsiTheme="minorHAnsi" w:cstheme="minorHAnsi"/>
        </w:rPr>
        <w:t>.</w:t>
      </w:r>
    </w:p>
    <w:p w14:paraId="2AA87DB3" w14:textId="77777777" w:rsidR="000F2886" w:rsidRPr="00B020ED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Dojde-li ke změně údajů uvedených v ohlášení, je poplatník povinen tuto změnu oznámit do 15 dnů ode dne, kdy nastala</w:t>
      </w:r>
      <w:r w:rsidRPr="00B020ED">
        <w:rPr>
          <w:rStyle w:val="Znakapoznpodarou"/>
          <w:rFonts w:asciiTheme="minorHAnsi" w:hAnsiTheme="minorHAnsi" w:cstheme="minorHAnsi"/>
        </w:rPr>
        <w:footnoteReference w:id="6"/>
      </w:r>
      <w:r w:rsidRPr="00B020ED">
        <w:rPr>
          <w:rFonts w:asciiTheme="minorHAnsi" w:hAnsiTheme="minorHAnsi" w:cstheme="minorHAnsi"/>
        </w:rPr>
        <w:t>.</w:t>
      </w:r>
    </w:p>
    <w:p w14:paraId="1CEB136F" w14:textId="77777777" w:rsidR="000F2886" w:rsidRPr="00B020ED" w:rsidRDefault="00000000">
      <w:pPr>
        <w:pStyle w:val="Nadpis2"/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lastRenderedPageBreak/>
        <w:t>Čl. 4</w:t>
      </w:r>
      <w:r w:rsidRPr="00B020ED">
        <w:rPr>
          <w:rFonts w:asciiTheme="minorHAnsi" w:hAnsiTheme="minorHAnsi" w:cstheme="minorHAnsi"/>
        </w:rPr>
        <w:br/>
        <w:t>Sazba poplatku</w:t>
      </w:r>
    </w:p>
    <w:p w14:paraId="01554B87" w14:textId="77777777" w:rsidR="000F2886" w:rsidRPr="00B020ED" w:rsidRDefault="00000000">
      <w:pPr>
        <w:pStyle w:val="Odstavec"/>
        <w:numPr>
          <w:ilvl w:val="0"/>
          <w:numId w:val="4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Sazba poplatku za kalendářní rok činí:</w:t>
      </w:r>
    </w:p>
    <w:p w14:paraId="403F2CBB" w14:textId="77777777" w:rsidR="000F2886" w:rsidRPr="00B020ED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za jednoho psa 120 Kč,</w:t>
      </w:r>
    </w:p>
    <w:p w14:paraId="52A3EA59" w14:textId="77777777" w:rsidR="000F2886" w:rsidRPr="00B020ED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za druhého a každého dalšího psa téhož držitele 250 Kč,</w:t>
      </w:r>
    </w:p>
    <w:p w14:paraId="43F8A432" w14:textId="77777777" w:rsidR="000F2886" w:rsidRPr="00B020ED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 xml:space="preserve">V případě trvání poplatkové povinnosti po dobu </w:t>
      </w:r>
      <w:proofErr w:type="gramStart"/>
      <w:r w:rsidRPr="00B020ED">
        <w:rPr>
          <w:rFonts w:asciiTheme="minorHAnsi" w:hAnsiTheme="minorHAnsi" w:cstheme="minorHAnsi"/>
        </w:rPr>
        <w:t>kratší</w:t>
      </w:r>
      <w:proofErr w:type="gramEnd"/>
      <w:r w:rsidRPr="00B020ED">
        <w:rPr>
          <w:rFonts w:asciiTheme="minorHAnsi" w:hAnsiTheme="minorHAnsi" w:cstheme="minorHAnsi"/>
        </w:rPr>
        <w:t xml:space="preserve"> než jeden rok se platí poplatek v poměrné výši, která odpovídá počtu i započatých kalendářních měsíců</w:t>
      </w:r>
      <w:r w:rsidRPr="00B020ED">
        <w:rPr>
          <w:rStyle w:val="Znakapoznpodarou"/>
          <w:rFonts w:asciiTheme="minorHAnsi" w:hAnsiTheme="minorHAnsi" w:cstheme="minorHAnsi"/>
        </w:rPr>
        <w:footnoteReference w:id="7"/>
      </w:r>
      <w:r w:rsidRPr="00B020ED">
        <w:rPr>
          <w:rFonts w:asciiTheme="minorHAnsi" w:hAnsiTheme="minorHAnsi" w:cstheme="minorHAnsi"/>
        </w:rPr>
        <w:t>.</w:t>
      </w:r>
    </w:p>
    <w:p w14:paraId="34BFFD9D" w14:textId="77777777" w:rsidR="000F2886" w:rsidRPr="00B020ED" w:rsidRDefault="00000000">
      <w:pPr>
        <w:pStyle w:val="Nadpis2"/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Čl. 5</w:t>
      </w:r>
      <w:r w:rsidRPr="00B020ED">
        <w:rPr>
          <w:rFonts w:asciiTheme="minorHAnsi" w:hAnsiTheme="minorHAnsi" w:cstheme="minorHAnsi"/>
        </w:rPr>
        <w:br/>
        <w:t>Splatnost poplatku</w:t>
      </w:r>
    </w:p>
    <w:p w14:paraId="447135A5" w14:textId="77777777" w:rsidR="000F2886" w:rsidRPr="00B020ED" w:rsidRDefault="00000000">
      <w:pPr>
        <w:pStyle w:val="Odstavec"/>
        <w:numPr>
          <w:ilvl w:val="0"/>
          <w:numId w:val="5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Poplatek je splatný nejpozději do 28. února příslušného kalendářního roku.</w:t>
      </w:r>
    </w:p>
    <w:p w14:paraId="4623CAF7" w14:textId="77777777" w:rsidR="000F2886" w:rsidRPr="00B020ED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 w14:paraId="662E3F45" w14:textId="77777777" w:rsidR="000F2886" w:rsidRPr="00B020ED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Lhůta splatnosti neskončí poplatníkovi dříve než lhůta pro podání ohlášení podle čl. 3 odst. 1.</w:t>
      </w:r>
    </w:p>
    <w:p w14:paraId="173E163B" w14:textId="77777777" w:rsidR="000F2886" w:rsidRPr="00B020ED" w:rsidRDefault="00000000">
      <w:pPr>
        <w:pStyle w:val="Nadpis2"/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Čl. 6</w:t>
      </w:r>
      <w:r w:rsidRPr="00B020ED">
        <w:rPr>
          <w:rFonts w:asciiTheme="minorHAnsi" w:hAnsiTheme="minorHAnsi" w:cstheme="minorHAnsi"/>
        </w:rPr>
        <w:br/>
        <w:t xml:space="preserve"> Osvobození</w:t>
      </w:r>
    </w:p>
    <w:p w14:paraId="43E798F2" w14:textId="77777777" w:rsidR="000F2886" w:rsidRPr="00B020ED" w:rsidRDefault="00000000">
      <w:pPr>
        <w:pStyle w:val="Odstavec"/>
        <w:numPr>
          <w:ilvl w:val="0"/>
          <w:numId w:val="6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 xml:space="preserve">Od poplatku je osvobozen držitel psa, kterým je osoba nevidomá, osoba, která je považována za závislou na pomoci jiné fyzické osoby podle zákona upravujícího sociální služby, osoba, která je držitelem průkazu </w:t>
      </w:r>
      <w:proofErr w:type="spellStart"/>
      <w:r w:rsidRPr="00B020ED">
        <w:rPr>
          <w:rFonts w:asciiTheme="minorHAnsi" w:hAnsiTheme="minorHAnsi" w:cstheme="minorHAnsi"/>
        </w:rPr>
        <w:t>ZTP</w:t>
      </w:r>
      <w:proofErr w:type="spellEnd"/>
      <w:r w:rsidRPr="00B020ED">
        <w:rPr>
          <w:rFonts w:asciiTheme="minorHAnsi" w:hAnsiTheme="minorHAnsi" w:cstheme="minorHAnsi"/>
        </w:rPr>
        <w:t xml:space="preserve"> nebo </w:t>
      </w:r>
      <w:proofErr w:type="spellStart"/>
      <w:r w:rsidRPr="00B020ED">
        <w:rPr>
          <w:rFonts w:asciiTheme="minorHAnsi" w:hAnsiTheme="minorHAnsi" w:cstheme="minorHAnsi"/>
        </w:rPr>
        <w:t>ZTP</w:t>
      </w:r>
      <w:proofErr w:type="spellEnd"/>
      <w:r w:rsidRPr="00B020ED">
        <w:rPr>
          <w:rFonts w:asciiTheme="minorHAnsi" w:hAnsiTheme="minorHAnsi" w:cstheme="minorHAnsi"/>
        </w:rPr>
        <w:t>/P, osoba provádějící výcvik psů určených k doprovodu těchto osob, osoba provozující útulek pro zvířata nebo osoba, které stanoví povinnost držení a používání psa zvláštní právní předpis</w:t>
      </w:r>
      <w:r w:rsidRPr="00B020ED">
        <w:rPr>
          <w:rStyle w:val="Znakapoznpodarou"/>
          <w:rFonts w:asciiTheme="minorHAnsi" w:hAnsiTheme="minorHAnsi" w:cstheme="minorHAnsi"/>
        </w:rPr>
        <w:footnoteReference w:id="8"/>
      </w:r>
      <w:r w:rsidRPr="00B020ED">
        <w:rPr>
          <w:rFonts w:asciiTheme="minorHAnsi" w:hAnsiTheme="minorHAnsi" w:cstheme="minorHAnsi"/>
        </w:rPr>
        <w:t>.</w:t>
      </w:r>
    </w:p>
    <w:p w14:paraId="26E348A4" w14:textId="77777777" w:rsidR="000F2886" w:rsidRPr="00B020ED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V případě, že poplatník nesplní povinnost ohlásit údaj rozhodný pro osvobození ve lhůtách stanovených touto vyhláškou nebo zákonem, nárok na osvobození zaniká</w:t>
      </w:r>
      <w:r w:rsidRPr="00B020ED">
        <w:rPr>
          <w:rStyle w:val="Znakapoznpodarou"/>
          <w:rFonts w:asciiTheme="minorHAnsi" w:hAnsiTheme="minorHAnsi" w:cstheme="minorHAnsi"/>
        </w:rPr>
        <w:footnoteReference w:id="9"/>
      </w:r>
      <w:r w:rsidRPr="00B020ED">
        <w:rPr>
          <w:rFonts w:asciiTheme="minorHAnsi" w:hAnsiTheme="minorHAnsi" w:cstheme="minorHAnsi"/>
        </w:rPr>
        <w:t>.</w:t>
      </w:r>
    </w:p>
    <w:p w14:paraId="7866956A" w14:textId="77777777" w:rsidR="000F2886" w:rsidRPr="00B020ED" w:rsidRDefault="00000000">
      <w:pPr>
        <w:pStyle w:val="Nadpis2"/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Čl. 7</w:t>
      </w:r>
      <w:r w:rsidRPr="00B020ED">
        <w:rPr>
          <w:rFonts w:asciiTheme="minorHAnsi" w:hAnsiTheme="minorHAnsi" w:cstheme="minorHAnsi"/>
        </w:rPr>
        <w:br/>
        <w:t xml:space="preserve"> Přechodné a zrušovací ustanovení</w:t>
      </w:r>
    </w:p>
    <w:p w14:paraId="127EFB8C" w14:textId="77777777" w:rsidR="000F2886" w:rsidRPr="00B020ED" w:rsidRDefault="00000000">
      <w:pPr>
        <w:pStyle w:val="Odstavec"/>
        <w:numPr>
          <w:ilvl w:val="0"/>
          <w:numId w:val="7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2C84DD09" w14:textId="77777777" w:rsidR="000F2886" w:rsidRPr="00B020ED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Zrušuje se obecně závazná vyhláška č. 1/2012, o místních poplatcích, ze dne 5. listopadu 2012.</w:t>
      </w:r>
    </w:p>
    <w:p w14:paraId="00207E70" w14:textId="77777777" w:rsidR="000F2886" w:rsidRPr="00B020ED" w:rsidRDefault="00000000">
      <w:pPr>
        <w:pStyle w:val="Nadpis2"/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lastRenderedPageBreak/>
        <w:t>Čl. 8</w:t>
      </w:r>
      <w:r w:rsidRPr="00B020ED">
        <w:rPr>
          <w:rFonts w:asciiTheme="minorHAnsi" w:hAnsiTheme="minorHAnsi" w:cstheme="minorHAnsi"/>
        </w:rPr>
        <w:br/>
        <w:t>Účinnost</w:t>
      </w:r>
    </w:p>
    <w:p w14:paraId="799F2BD5" w14:textId="77777777" w:rsidR="000F2886" w:rsidRPr="00B020ED" w:rsidRDefault="00000000">
      <w:pPr>
        <w:pStyle w:val="Odstavec"/>
        <w:rPr>
          <w:rFonts w:asciiTheme="minorHAnsi" w:hAnsiTheme="minorHAnsi" w:cstheme="minorHAnsi"/>
        </w:rPr>
      </w:pPr>
      <w:r w:rsidRPr="00B020ED">
        <w:rPr>
          <w:rFonts w:asciiTheme="minorHAnsi" w:hAnsiTheme="minorHAnsi" w:cstheme="minorHAnsi"/>
        </w:rP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F2886" w:rsidRPr="00B020ED" w14:paraId="4DEAE12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17D78" w14:textId="77777777" w:rsidR="000F2886" w:rsidRPr="00B020ED" w:rsidRDefault="00000000">
            <w:pPr>
              <w:pStyle w:val="PodpisovePole"/>
              <w:rPr>
                <w:rFonts w:asciiTheme="minorHAnsi" w:hAnsiTheme="minorHAnsi" w:cstheme="minorHAnsi"/>
              </w:rPr>
            </w:pPr>
            <w:r w:rsidRPr="00B020ED">
              <w:rPr>
                <w:rFonts w:asciiTheme="minorHAnsi" w:hAnsiTheme="minorHAnsi" w:cstheme="minorHAnsi"/>
              </w:rPr>
              <w:t>Vratislav Ryk v. r.</w:t>
            </w:r>
            <w:r w:rsidRPr="00B020ED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174CD2" w14:textId="77777777" w:rsidR="000F2886" w:rsidRPr="00B020ED" w:rsidRDefault="00000000">
            <w:pPr>
              <w:pStyle w:val="PodpisovePole"/>
              <w:rPr>
                <w:rFonts w:asciiTheme="minorHAnsi" w:hAnsiTheme="minorHAnsi" w:cstheme="minorHAnsi"/>
              </w:rPr>
            </w:pPr>
            <w:r w:rsidRPr="00B020ED">
              <w:rPr>
                <w:rFonts w:asciiTheme="minorHAnsi" w:hAnsiTheme="minorHAnsi" w:cstheme="minorHAnsi"/>
              </w:rPr>
              <w:t>Zuzana Francová v. r.</w:t>
            </w:r>
            <w:r w:rsidRPr="00B020ED">
              <w:rPr>
                <w:rFonts w:asciiTheme="minorHAnsi" w:hAnsiTheme="minorHAnsi" w:cstheme="minorHAnsi"/>
              </w:rPr>
              <w:br/>
              <w:t xml:space="preserve"> místostarostka</w:t>
            </w:r>
          </w:p>
        </w:tc>
      </w:tr>
      <w:tr w:rsidR="000F2886" w:rsidRPr="00B020ED" w14:paraId="7C6E772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CCF009" w14:textId="77777777" w:rsidR="000F2886" w:rsidRPr="00B020ED" w:rsidRDefault="000F2886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2152B3" w14:textId="77777777" w:rsidR="000F2886" w:rsidRPr="00B020ED" w:rsidRDefault="000F2886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14:paraId="34DE73CE" w14:textId="77777777" w:rsidR="00CB5544" w:rsidRPr="00B020ED" w:rsidRDefault="00CB5544">
      <w:pPr>
        <w:rPr>
          <w:rFonts w:asciiTheme="minorHAnsi" w:hAnsiTheme="minorHAnsi" w:cstheme="minorHAnsi"/>
        </w:rPr>
      </w:pPr>
    </w:p>
    <w:sectPr w:rsidR="00CB5544" w:rsidRPr="00B020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C4C7" w14:textId="77777777" w:rsidR="00B12EE1" w:rsidRDefault="00B12EE1">
      <w:r>
        <w:separator/>
      </w:r>
    </w:p>
  </w:endnote>
  <w:endnote w:type="continuationSeparator" w:id="0">
    <w:p w14:paraId="67BFDC2F" w14:textId="77777777" w:rsidR="00B12EE1" w:rsidRDefault="00B1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0773" w14:textId="77777777" w:rsidR="00B12EE1" w:rsidRDefault="00B12EE1">
      <w:r>
        <w:rPr>
          <w:color w:val="000000"/>
        </w:rPr>
        <w:separator/>
      </w:r>
    </w:p>
  </w:footnote>
  <w:footnote w:type="continuationSeparator" w:id="0">
    <w:p w14:paraId="790D8305" w14:textId="77777777" w:rsidR="00B12EE1" w:rsidRDefault="00B12EE1">
      <w:r>
        <w:continuationSeparator/>
      </w:r>
    </w:p>
  </w:footnote>
  <w:footnote w:id="1">
    <w:p w14:paraId="3918E121" w14:textId="77777777" w:rsidR="000F2886" w:rsidRDefault="00000000">
      <w:pPr>
        <w:pStyle w:val="Footnote"/>
      </w:pPr>
      <w:r>
        <w:rPr>
          <w:rStyle w:val="Znakapoznpodarou"/>
        </w:rPr>
        <w:footnoteRef/>
      </w:r>
      <w:r>
        <w:t>§ 2 odst. 5 zákona o místních poplatcích.</w:t>
      </w:r>
    </w:p>
    <w:p w14:paraId="0A817427" w14:textId="77777777" w:rsidR="00B256BF" w:rsidRDefault="00B256BF"/>
  </w:footnote>
  <w:footnote w:id="2">
    <w:p w14:paraId="2351A262" w14:textId="77777777" w:rsidR="000F288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0DCF5582" w14:textId="77777777" w:rsidR="00B256BF" w:rsidRDefault="00B256BF"/>
  </w:footnote>
  <w:footnote w:id="3">
    <w:p w14:paraId="66100FC6" w14:textId="77777777" w:rsidR="000F2886" w:rsidRDefault="00000000">
      <w:pPr>
        <w:pStyle w:val="Footnote"/>
      </w:pPr>
      <w:r>
        <w:rPr>
          <w:rStyle w:val="Znakapoznpodarou"/>
        </w:rPr>
        <w:footnoteRef/>
      </w:r>
      <w:r>
        <w:t>§ 2 odst. 1 a 4 zákona o místních poplatcích.</w:t>
      </w:r>
    </w:p>
    <w:p w14:paraId="113A1DF0" w14:textId="77777777" w:rsidR="00B256BF" w:rsidRDefault="00B256BF"/>
  </w:footnote>
  <w:footnote w:id="4">
    <w:p w14:paraId="7D9B2F17" w14:textId="77777777" w:rsidR="000F2886" w:rsidRDefault="00000000">
      <w:pPr>
        <w:pStyle w:val="Footnote"/>
      </w:pPr>
      <w:r>
        <w:rPr>
          <w:rStyle w:val="Znakapoznpodarou"/>
        </w:rPr>
        <w:footnoteRef/>
      </w:r>
      <w:r>
        <w:t>§ 2 odst. 2 zákona o místních poplatcích.</w:t>
      </w:r>
    </w:p>
    <w:p w14:paraId="456A7A52" w14:textId="77777777" w:rsidR="00B256BF" w:rsidRDefault="00B256BF"/>
  </w:footnote>
  <w:footnote w:id="5">
    <w:p w14:paraId="20E36419" w14:textId="77777777" w:rsidR="000F2886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1 a 2 zákona o místních poplatcích; v ohlášení poplatník uvede zejména své identifikační údaje a skutečnosti rozhodné pro stanovení poplatku.</w:t>
      </w:r>
    </w:p>
    <w:p w14:paraId="4E83D16C" w14:textId="77777777" w:rsidR="00B256BF" w:rsidRDefault="00B256BF"/>
  </w:footnote>
  <w:footnote w:id="6">
    <w:p w14:paraId="3205FADF" w14:textId="77777777" w:rsidR="000F2886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4 zákona o místních poplatcích.</w:t>
      </w:r>
    </w:p>
    <w:p w14:paraId="2A76004D" w14:textId="77777777" w:rsidR="00B256BF" w:rsidRDefault="00B256BF"/>
  </w:footnote>
  <w:footnote w:id="7">
    <w:p w14:paraId="0BF641CC" w14:textId="77777777" w:rsidR="000F2886" w:rsidRDefault="00000000">
      <w:pPr>
        <w:pStyle w:val="Footnote"/>
      </w:pPr>
      <w:r>
        <w:rPr>
          <w:rStyle w:val="Znakapoznpodarou"/>
        </w:rPr>
        <w:footnoteRef/>
      </w:r>
      <w:r>
        <w:t>§ 2 odst. 3 zákona o místních poplatcích.</w:t>
      </w:r>
    </w:p>
    <w:p w14:paraId="0146EEF4" w14:textId="77777777" w:rsidR="00B256BF" w:rsidRDefault="00B256BF"/>
  </w:footnote>
  <w:footnote w:id="8">
    <w:p w14:paraId="1949B0D4" w14:textId="77777777" w:rsidR="000F2886" w:rsidRDefault="00000000">
      <w:pPr>
        <w:pStyle w:val="Footnote"/>
      </w:pPr>
      <w:r>
        <w:rPr>
          <w:rStyle w:val="Znakapoznpodarou"/>
        </w:rPr>
        <w:footnoteRef/>
      </w:r>
      <w:r>
        <w:t>§ 2 odst. 2 zákona o místních poplatcích.</w:t>
      </w:r>
    </w:p>
    <w:p w14:paraId="3B11729C" w14:textId="77777777" w:rsidR="00B256BF" w:rsidRDefault="00B256BF"/>
  </w:footnote>
  <w:footnote w:id="9">
    <w:p w14:paraId="2766957D" w14:textId="77777777" w:rsidR="000F2886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6 zákona o místních poplatcích.</w:t>
      </w:r>
    </w:p>
    <w:p w14:paraId="2581B13B" w14:textId="77777777" w:rsidR="00B256BF" w:rsidRDefault="00B256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C3000"/>
    <w:multiLevelType w:val="multilevel"/>
    <w:tmpl w:val="3550CB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4611239">
    <w:abstractNumId w:val="0"/>
  </w:num>
  <w:num w:numId="2" w16cid:durableId="618218670">
    <w:abstractNumId w:val="0"/>
    <w:lvlOverride w:ilvl="0">
      <w:startOverride w:val="1"/>
    </w:lvlOverride>
  </w:num>
  <w:num w:numId="3" w16cid:durableId="162624068">
    <w:abstractNumId w:val="0"/>
    <w:lvlOverride w:ilvl="0">
      <w:startOverride w:val="1"/>
    </w:lvlOverride>
  </w:num>
  <w:num w:numId="4" w16cid:durableId="1015108016">
    <w:abstractNumId w:val="0"/>
    <w:lvlOverride w:ilvl="0">
      <w:startOverride w:val="1"/>
    </w:lvlOverride>
  </w:num>
  <w:num w:numId="5" w16cid:durableId="961305885">
    <w:abstractNumId w:val="0"/>
    <w:lvlOverride w:ilvl="0">
      <w:startOverride w:val="1"/>
    </w:lvlOverride>
  </w:num>
  <w:num w:numId="6" w16cid:durableId="1362166010">
    <w:abstractNumId w:val="0"/>
    <w:lvlOverride w:ilvl="0">
      <w:startOverride w:val="1"/>
    </w:lvlOverride>
  </w:num>
  <w:num w:numId="7" w16cid:durableId="19971000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886"/>
    <w:rsid w:val="000F2886"/>
    <w:rsid w:val="002B7CF3"/>
    <w:rsid w:val="00397A19"/>
    <w:rsid w:val="003B5365"/>
    <w:rsid w:val="00477A6C"/>
    <w:rsid w:val="0057683A"/>
    <w:rsid w:val="005F17AA"/>
    <w:rsid w:val="00896D21"/>
    <w:rsid w:val="009A76C9"/>
    <w:rsid w:val="00A12768"/>
    <w:rsid w:val="00B020ED"/>
    <w:rsid w:val="00B12EE1"/>
    <w:rsid w:val="00B256BF"/>
    <w:rsid w:val="00BB1DEE"/>
    <w:rsid w:val="00CB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CD6A"/>
  <w15:docId w15:val="{9936386E-D25D-43F5-B491-7D5E9FA0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440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Borek</dc:creator>
  <cp:lastModifiedBy>Obec Borek</cp:lastModifiedBy>
  <cp:revision>5</cp:revision>
  <dcterms:created xsi:type="dcterms:W3CDTF">2025-12-02T08:58:00Z</dcterms:created>
  <dcterms:modified xsi:type="dcterms:W3CDTF">2025-12-16T08:27:00Z</dcterms:modified>
</cp:coreProperties>
</file>