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2598420</wp:posOffset>
            </wp:positionH>
            <wp:positionV relativeFrom="paragraph">
              <wp:posOffset>-518795</wp:posOffset>
            </wp:positionV>
            <wp:extent cx="1063625" cy="1334770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" t="-9" r="-1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K L E N E Č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OBCE KLENEČ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8"/>
          <w:szCs w:val="28"/>
          <w:lang w:val="cs-CZ"/>
        </w:rPr>
      </w:pPr>
      <w:r>
        <w:rPr>
          <w:rFonts w:eastAsia="MS Mincho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MS Mincho" w:ascii="Times New Roman" w:hAnsi="Times New Roman"/>
          <w:b/>
          <w:bCs/>
          <w:sz w:val="28"/>
          <w:szCs w:val="28"/>
        </w:rPr>
        <w:t xml:space="preserve">kterou se stanoví 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eastAsia="MS Mincho" w:ascii="Times New Roman" w:hAnsi="Times New Roman"/>
          <w:b/>
          <w:bCs/>
          <w:sz w:val="28"/>
          <w:szCs w:val="28"/>
        </w:rPr>
        <w:t>systém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 odpadového hospodářství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i/>
          <w:i/>
        </w:rPr>
      </w:pPr>
      <w:r>
        <w:rPr>
          <w:i/>
        </w:rPr>
        <w:t xml:space="preserve">Zastupitelstvo obce Kleneč se na svém zasedání konaném dne </w:t>
      </w:r>
      <w:r>
        <w:rPr>
          <w:b/>
          <w:bCs/>
          <w:i/>
        </w:rPr>
        <w:t>03.06.</w:t>
      </w:r>
      <w:r>
        <w:rPr>
          <w:b/>
          <w:bCs/>
          <w:i/>
        </w:rPr>
        <w:t xml:space="preserve"> 2024</w:t>
      </w:r>
      <w:r>
        <w:rPr>
          <w:i/>
        </w:rPr>
        <w:t xml:space="preserve"> usneslo vydat na základě § 59 odst. 4 zákona č. 541/2020 Sb., o odpadech (dále jen „zákon o odpadech“), a podle § 10 písm. d) a § 84 odst. 2 písm. h) zákona č. 128/2000 Sb., o obcích (obecní zřízení), ve znění pozdějších předpisů, tuto obecně závaznou vyhlášku (dále jen „vyhláška“): </w:t>
      </w:r>
    </w:p>
    <w:p>
      <w:pPr>
        <w:pStyle w:val="BodyText2"/>
        <w:tabs>
          <w:tab w:val="clear" w:pos="709"/>
          <w:tab w:val="left" w:pos="4172" w:leader="none"/>
        </w:tabs>
        <w:rPr>
          <w:b w:val="false"/>
          <w:sz w:val="24"/>
          <w:szCs w:val="22"/>
        </w:rPr>
      </w:pPr>
      <w:r>
        <w:rPr>
          <w:b w:val="false"/>
          <w:sz w:val="24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Článek 1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Předmět a působnost vyhlášky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jc w:val="both"/>
        <w:rPr/>
      </w:pPr>
      <w:r>
        <w:rPr/>
        <w:t xml:space="preserve">Tato vyhláška stanoví obecní systém odpadového hospodářství na území obce </w:t>
      </w:r>
      <w:r>
        <w:rPr>
          <w:iCs/>
        </w:rPr>
        <w:t>Kleneč</w:t>
      </w:r>
      <w:r>
        <w:rPr>
          <w:i/>
        </w:rPr>
        <w:t xml:space="preserve"> </w:t>
      </w:r>
      <w:r>
        <w:rPr/>
        <w:t>(dále jen „obecní systém odpadového hospodářství“).</w:t>
      </w:r>
    </w:p>
    <w:p>
      <w:pPr>
        <w:pStyle w:val="Normal"/>
        <w:numPr>
          <w:ilvl w:val="0"/>
          <w:numId w:val="13"/>
        </w:numPr>
        <w:jc w:val="both"/>
        <w:rPr/>
      </w:pPr>
      <w:r>
        <w:rPr/>
        <w:t xml:space="preserve">Tato vyhláška rovněž stanoví místa, kde obec </w:t>
      </w:r>
      <w:r>
        <w:rPr>
          <w:iCs/>
        </w:rPr>
        <w:t>Kleneč</w:t>
      </w:r>
      <w:r>
        <w:rPr>
          <w:i/>
        </w:rPr>
        <w:t xml:space="preserve"> </w:t>
      </w:r>
      <w:r>
        <w:rPr/>
        <w:t>(dále jen „obec“) přebírá:</w:t>
      </w:r>
    </w:p>
    <w:p>
      <w:pPr>
        <w:pStyle w:val="Normal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stavební a demoliční odpad vznikající na území obce při činnosti nepodnikajících fyzických osob,</w:t>
      </w:r>
    </w:p>
    <w:p>
      <w:pPr>
        <w:pStyle w:val="Normal"/>
        <w:numPr>
          <w:ilvl w:val="0"/>
          <w:numId w:val="5"/>
        </w:numPr>
        <w:jc w:val="both"/>
        <w:rPr/>
      </w:pPr>
      <w:r>
        <w:rPr/>
        <w:t>výrobky s ukončenou životností v rámci služby pro výrobce podle zákona o výrobcích s ukončenou životností.</w:t>
      </w:r>
    </w:p>
    <w:p>
      <w:pPr>
        <w:pStyle w:val="Normal"/>
        <w:jc w:val="both"/>
        <w:rPr/>
      </w:pPr>
      <w:r>
        <w:rPr/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>
      <w:pPr>
        <w:pStyle w:val="BodyText2"/>
        <w:tabs>
          <w:tab w:val="clear" w:pos="709"/>
          <w:tab w:val="left" w:pos="4172" w:leader="none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Nápojovými kartony</w:t>
      </w:r>
      <w:r>
        <w:rPr/>
        <w:t xml:space="preserve"> </w:t>
      </w:r>
      <w:r>
        <w:rPr>
          <w:color w:val="000000"/>
        </w:rPr>
        <w:t>se pro účely této vyhlášky rozumí</w:t>
      </w:r>
      <w:r>
        <w:rPr/>
        <w:t xml:space="preserve"> kompozitní (vícesložkové) obaly (např. od mléka, vína, džusů a jiných poživatin).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>Biologicky rozložitelným odpadem</w:t>
      </w:r>
      <w:r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FootnoteReference"/>
          <w:bCs/>
        </w:rPr>
        <w:footnoteReference w:id="2"/>
      </w:r>
      <w:r>
        <w:rPr>
          <w:bCs/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Směsný komunální odpad </w:t>
      </w:r>
      <w:r>
        <w:rPr>
          <w:color w:val="000000"/>
        </w:rPr>
        <w:t>je složka komunálního odpadu, která zůstává po vytřídění složek komunálního odpadu uvedených v čl. 3 písm. a) až i) této vyhlášky.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  <w:color w:val="000000"/>
        </w:rPr>
        <w:t xml:space="preserve">Stanoviště zvláštních sběrných nádob </w:t>
      </w:r>
      <w:r>
        <w:rPr>
          <w:color w:val="000000"/>
        </w:rPr>
        <w:t>jsou místa,</w:t>
      </w:r>
      <w:r>
        <w:rPr/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>
        <w:rPr>
          <w:color w:val="000000"/>
        </w:rPr>
        <w:t>.</w:t>
      </w:r>
      <w:r>
        <w:rPr/>
        <w:t xml:space="preserve"> Aktuální seznam stanovišť zvláštních sběrných nádob je zveřejněn na webových stránkách obce.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Sběrné místo </w:t>
      </w:r>
      <w:r>
        <w:rPr>
          <w:color w:val="000000"/>
        </w:rPr>
        <w:t xml:space="preserve">je místo, </w:t>
      </w:r>
      <w:r>
        <w:rPr/>
        <w:t xml:space="preserve">které slouží k odkládání určených složek komunálního odpadu do shromažďovacích prostředků </w:t>
      </w:r>
      <w:r>
        <w:rPr>
          <w:color w:val="000000"/>
        </w:rPr>
        <w:t>během provozní doby zveřejněné na webových stránkách obce</w:t>
      </w:r>
      <w:r>
        <w:rPr/>
        <w:t>. Slouží i jako místo pro přebírání stavebního a demoličního odpadu a vybraných výrobků s ukončenou životností. Jedná se o </w:t>
      </w:r>
      <w:r>
        <w:rPr>
          <w:color w:val="000000"/>
        </w:rPr>
        <w:t>oplocenou parcelu st. p. č. 12/1 v k. ú. Kleneč.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</w:rPr>
        <w:t>Stavební a demoliční odpad</w:t>
      </w:r>
      <w:r>
        <w:rPr/>
        <w:t xml:space="preserve"> je definován zákonem.</w:t>
      </w:r>
      <w:r>
        <w:rPr>
          <w:rStyle w:val="FootnoteReference"/>
          <w:bCs/>
        </w:rPr>
        <w:footnoteReference w:id="3"/>
      </w:r>
      <w:r>
        <w:rPr>
          <w:bCs/>
          <w:vertAlign w:val="superscript"/>
        </w:rPr>
        <w:t>)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3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rFonts w:eastAsia="Arial"/>
        </w:rPr>
      </w:pPr>
      <w:r>
        <w:rPr/>
        <w:t>Komunální odpad se v obecním systému odpadového hospodářství třídí na tyto složky: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papír a nápojové kartony;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sklo;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plasty;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kovy;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textil;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biologicky rozložitelný odpad;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jedlé oleje a tuky;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objemný odpad;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nebezpečný odpad;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4172" w:leader="none"/>
        </w:tabs>
        <w:jc w:val="both"/>
        <w:rPr/>
      </w:pPr>
      <w:r>
        <w:rPr/>
        <w:t>směsný komunální odpad.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highlight w:val="yellow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highlight w:val="yellow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4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ísta určená 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soustřeďování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složek komunálního odpadu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Jednotlivé složky komunálního odpadu se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soustřeďují</w:t>
      </w:r>
      <w:r>
        <w:rPr>
          <w:rFonts w:eastAsia="MS Mincho" w:ascii="Times New Roman" w:hAnsi="Times New Roman"/>
          <w:bCs/>
          <w:sz w:val="24"/>
          <w:szCs w:val="24"/>
        </w:rPr>
        <w:t>: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papír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a nápojové kartony</w:t>
      </w:r>
      <w:r>
        <w:rPr>
          <w:rFonts w:eastAsia="MS Mincho" w:ascii="Times New Roman" w:hAnsi="Times New Roman"/>
          <w:bCs/>
          <w:sz w:val="24"/>
          <w:szCs w:val="24"/>
        </w:rPr>
        <w:t xml:space="preserve"> 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(výklopný kontejner o objemu 1100 litrů modré barvy) umístěných na stanovištích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sklo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(výklopný kontejner o objemu 1100 litrů zelené barvy) umístěných na stanovištích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plasty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>
        <w:rPr>
          <w:rFonts w:ascii="Times New Roman" w:hAnsi="Times New Roman"/>
          <w:sz w:val="24"/>
          <w:szCs w:val="24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>(výklopný kontejner o objemu 1100 litrů žluté barvy) umístěných na stanovištích zvláštních sběrných nádob;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kovy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umístěných na stanovištích zvláštních sběrných nádob a ve sběrném místě;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textil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 Nádražní ulici s nápisem „TEXTIL“;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0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/>
      </w:pPr>
      <w:r>
        <w:rPr>
          <w:rFonts w:ascii="Times New Roman" w:hAnsi="Times New Roman"/>
          <w:sz w:val="24"/>
          <w:szCs w:val="24"/>
          <w:lang w:val="cs-CZ"/>
        </w:rPr>
        <w:t>od 1. 4. do 31. 10. kalendářního roku do mobilního sběrného zařízení, které projíždí obcí každé pondělí,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shd w:fill="FFFF00" w:val="clear"/>
        </w:rPr>
      </w:pPr>
      <w:r>
        <w:rPr>
          <w:rFonts w:ascii="Times New Roman" w:hAnsi="Times New Roman"/>
          <w:sz w:val="24"/>
          <w:szCs w:val="24"/>
          <w:lang w:val="cs-CZ"/>
        </w:rPr>
        <w:t>do zvláštního sběrného prostředku umístěného na pozemku pozemková parcela č. 226/3 v katastrálním území Kleneč.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jedlé oleje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 a tuky</w:t>
      </w:r>
      <w:r>
        <w:rPr>
          <w:rFonts w:eastAsia="MS Mincho" w:ascii="Times New Roman" w:hAnsi="Times New Roman"/>
          <w:bCs/>
          <w:sz w:val="24"/>
          <w:szCs w:val="24"/>
        </w:rPr>
        <w:t xml:space="preserve"> –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do zvláštní sběrné nádoby s nápisem „TUKY“ umístěné</w:t>
      </w:r>
      <w:r>
        <w:rPr>
          <w:rFonts w:ascii="Times New Roman" w:hAnsi="Times New Roman"/>
          <w:sz w:val="24"/>
          <w:szCs w:val="24"/>
          <w:lang w:val="cs-CZ"/>
        </w:rPr>
        <w:t xml:space="preserve"> ve sběrném místě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; 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nebezpečn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ý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odpad </w:t>
      </w:r>
      <w:r>
        <w:rPr>
          <w:rFonts w:eastAsia="MS Mincho" w:ascii="Times New Roman" w:hAnsi="Times New Roman"/>
          <w:bCs/>
          <w:sz w:val="24"/>
          <w:szCs w:val="24"/>
        </w:rPr>
        <w:t>–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dvakrát ročně během mobilního svozu předáváním na svozové vozidlo (popř. do rukou osádky svozového vozidla) oprávněné osoby (svozové společnosti), které zastavuje</w:t>
      </w:r>
      <w:r>
        <w:rPr>
          <w:rFonts w:ascii="Times New Roman" w:hAnsi="Times New Roman"/>
          <w:sz w:val="24"/>
          <w:szCs w:val="24"/>
          <w:lang w:val="cs-CZ"/>
        </w:rPr>
        <w:t xml:space="preserve"> v ulici Náves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cs-CZ"/>
        </w:rPr>
        <w:t>o termínu příjezdu svozového vozidla informuje Obecní úřad Kleneč na své úřední desce, na internetových stránkách obce, místním rozhlasem a případně roznáškou letáků do schránek;</w:t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objemný odpad </w:t>
      </w:r>
      <w:r>
        <w:rPr>
          <w:rFonts w:ascii="Times New Roman" w:hAnsi="Times New Roman"/>
          <w:sz w:val="24"/>
          <w:szCs w:val="24"/>
        </w:rPr>
        <w:t xml:space="preserve">– do velkoobjemového kontejneru </w:t>
      </w:r>
      <w:r>
        <w:rPr>
          <w:rFonts w:ascii="Times New Roman" w:hAnsi="Times New Roman"/>
          <w:sz w:val="24"/>
          <w:szCs w:val="24"/>
          <w:lang w:val="cs-CZ"/>
        </w:rPr>
        <w:t>umístěného ve sběrném místě;</w:t>
      </w:r>
    </w:p>
    <w:p>
      <w:pPr>
        <w:pStyle w:val="Normal"/>
        <w:rPr>
          <w:rFonts w:eastAsia="MS Mincho"/>
          <w:b/>
          <w:bCs/>
          <w:lang w:val="x-none" w:eastAsia="x-none"/>
        </w:rPr>
      </w:pPr>
      <w:r>
        <w:rPr>
          <w:rFonts w:eastAsia="MS Mincho"/>
          <w:b/>
          <w:bCs/>
          <w:lang w:val="x-none" w:eastAsia="x-none"/>
        </w:rPr>
      </w:r>
      <w:r>
        <w:br w:type="page"/>
      </w:r>
    </w:p>
    <w:p>
      <w:pPr>
        <w:pStyle w:val="PlainText"/>
        <w:numPr>
          <w:ilvl w:val="0"/>
          <w:numId w:val="4"/>
        </w:numPr>
        <w:tabs>
          <w:tab w:val="clear" w:pos="709"/>
          <w:tab w:val="left" w:pos="4172" w:leader="none"/>
        </w:tabs>
        <w:spacing w:before="0" w:after="0"/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směsný komunální odpad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</w:p>
    <w:p>
      <w:pPr>
        <w:pStyle w:val="PlainText"/>
        <w:numPr>
          <w:ilvl w:val="0"/>
          <w:numId w:val="7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typizovaných sběrných nádob přidělených</w:t>
      </w:r>
      <w:r>
        <w:rPr>
          <w:rStyle w:val="FootnoteReference"/>
          <w:rFonts w:ascii="Times New Roman" w:hAnsi="Times New Roman"/>
          <w:bCs/>
          <w:sz w:val="24"/>
          <w:szCs w:val="24"/>
        </w:rPr>
        <w:footnoteReference w:id="4"/>
      </w:r>
      <w:r>
        <w:rPr>
          <w:rFonts w:ascii="Times New Roman" w:hAnsi="Times New Roman"/>
          <w:bCs/>
          <w:sz w:val="24"/>
          <w:szCs w:val="24"/>
          <w:vertAlign w:val="superscript"/>
        </w:rPr>
        <w:t>)</w:t>
      </w:r>
      <w:r>
        <w:rPr>
          <w:rFonts w:ascii="Times New Roman" w:hAnsi="Times New Roman"/>
          <w:sz w:val="24"/>
          <w:szCs w:val="24"/>
        </w:rPr>
        <w:t xml:space="preserve"> k příslušné nemovitosti (popelnice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>objemu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  <w:lang w:val="cs-CZ"/>
        </w:rPr>
        <w:t xml:space="preserve"> nebo 240 litrů</w:t>
      </w:r>
      <w:r>
        <w:rPr>
          <w:rFonts w:ascii="Times New Roman" w:hAnsi="Times New Roman"/>
          <w:sz w:val="24"/>
          <w:szCs w:val="24"/>
        </w:rPr>
        <w:t>);</w:t>
      </w:r>
    </w:p>
    <w:p>
      <w:pPr>
        <w:pStyle w:val="PlainText"/>
        <w:numPr>
          <w:ilvl w:val="0"/>
          <w:numId w:val="7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Cs/>
          <w:sz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lang w:val="cs-CZ"/>
        </w:rPr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Cs/>
          <w:sz w:val="24"/>
          <w:lang w:val="cs-CZ"/>
        </w:rPr>
      </w:pPr>
      <w:r>
        <w:rPr>
          <w:rFonts w:eastAsia="MS Mincho" w:ascii="Times New Roman" w:hAnsi="Times New Roman"/>
          <w:b/>
          <w:bCs/>
          <w:sz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lang w:val="cs-CZ"/>
        </w:rPr>
        <w:t>5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</w:rPr>
      </w:pPr>
      <w:r>
        <w:rPr>
          <w:rFonts w:eastAsia="MS Mincho" w:ascii="Times New Roman" w:hAnsi="Times New Roman"/>
          <w:b/>
          <w:sz w:val="24"/>
        </w:rPr>
        <w:t>Povinnosti osob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Osoby jsou povinny: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komunální odpad třídit na složky uvedené v článku 3 a odkládat na místa určená k </w:t>
      </w:r>
      <w:r>
        <w:rPr>
          <w:rFonts w:eastAsia="MS Mincho" w:ascii="Times New Roman" w:hAnsi="Times New Roman"/>
          <w:bCs/>
          <w:sz w:val="24"/>
          <w:lang w:val="cs-CZ"/>
        </w:rPr>
        <w:t>soustřeďování</w:t>
      </w:r>
      <w:r>
        <w:rPr>
          <w:rFonts w:eastAsia="MS Mincho" w:ascii="Times New Roman" w:hAnsi="Times New Roman"/>
          <w:bCs/>
          <w:sz w:val="24"/>
        </w:rPr>
        <w:t xml:space="preserve"> </w:t>
      </w:r>
      <w:r>
        <w:rPr>
          <w:rFonts w:eastAsia="MS Mincho" w:ascii="Times New Roman" w:hAnsi="Times New Roman"/>
          <w:bCs/>
          <w:sz w:val="24"/>
          <w:lang w:val="cs-CZ"/>
        </w:rPr>
        <w:t xml:space="preserve">jednotlivých složek </w:t>
      </w:r>
      <w:r>
        <w:rPr>
          <w:rFonts w:eastAsia="MS Mincho" w:ascii="Times New Roman" w:hAnsi="Times New Roman"/>
          <w:bCs/>
          <w:sz w:val="24"/>
        </w:rPr>
        <w:t>komunálního odpadu dle článku 4 vyhlášky,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 xml:space="preserve">nezhutňovat a neudupávat odpad </w:t>
      </w:r>
      <w:r>
        <w:rPr>
          <w:rFonts w:eastAsia="MS Mincho" w:ascii="Times New Roman" w:hAnsi="Times New Roman"/>
          <w:bCs/>
          <w:sz w:val="24"/>
        </w:rPr>
        <w:t>ve sběrných nádobách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3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plnit sběrné nádoby tak, aby je bylo možno uzavřít a odpad z nich při manipulaci nevypadával.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6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eastAsia="MS Mincho"/>
        </w:rPr>
      </w:pPr>
      <w:r>
        <w:rPr>
          <w:rFonts w:eastAsia="MS Mincho"/>
        </w:rPr>
        <w:t>Obec přebírá od nepodnikajících fyzických osob s trvalým pobytem v obci nebo vlastnících na území obce nemovitou věc stavební a demoliční odpad do velkoobjemového kontejneru s označením „stavební suť“ umístěného ve sběrném místě, a to vždy 1. sobotu v měsíci v maximálním množství 500 kg v takovém měsíci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7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szCs w:val="24"/>
          <w:lang w:val="cs-CZ"/>
        </w:rPr>
        <w:t>Obec přebírá výrobky s ukončenou životností v rámci služby pro výrobce podle zákona o výrobcích s ukončenou životností:</w:t>
      </w:r>
      <w:r>
        <w:rPr>
          <w:rStyle w:val="FootnoteReference"/>
          <w:rFonts w:eastAsia="MS Mincho" w:ascii="Times New Roman" w:hAnsi="Times New Roman"/>
          <w:bCs/>
          <w:sz w:val="24"/>
        </w:rPr>
        <w:footnoteReference w:id="5"/>
      </w:r>
      <w:r>
        <w:rPr>
          <w:rFonts w:eastAsia="MS Mincho" w:ascii="Times New Roman" w:hAnsi="Times New Roman"/>
          <w:bCs/>
          <w:sz w:val="24"/>
          <w:vertAlign w:val="superscript"/>
        </w:rPr>
        <w:t>)</w:t>
      </w:r>
    </w:p>
    <w:p>
      <w:pPr>
        <w:pStyle w:val="PlainText"/>
        <w:numPr>
          <w:ilvl w:val="0"/>
          <w:numId w:val="10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Cs/>
          <w:sz w:val="24"/>
          <w:szCs w:val="24"/>
          <w:lang w:val="cs-CZ"/>
        </w:rPr>
        <w:t>baterie - v budově Obecního úřadu Kleneč do příslušné sběrné nádoby,</w:t>
      </w:r>
    </w:p>
    <w:p>
      <w:pPr>
        <w:pStyle w:val="PlainText"/>
        <w:numPr>
          <w:ilvl w:val="0"/>
          <w:numId w:val="10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elektrozařízení - </w:t>
      </w:r>
      <w:r>
        <w:rPr>
          <w:rFonts w:eastAsia="MS Mincho" w:ascii="Times New Roman" w:hAnsi="Times New Roman"/>
          <w:sz w:val="24"/>
          <w:szCs w:val="24"/>
          <w:lang w:val="cs-CZ"/>
        </w:rPr>
        <w:t>do 2 mobilních EKO-Skladů umístěných ve sběrném místě, a to vždy 1. sobotu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v</w:t>
      </w:r>
      <w:r>
        <w:rPr>
          <w:rFonts w:eastAsia="MS Mincho" w:ascii="Times New Roman" w:hAnsi="Times New Roman"/>
          <w:sz w:val="24"/>
          <w:szCs w:val="24"/>
          <w:lang w:val="cs-CZ"/>
        </w:rPr>
        <w:t> měsíci.</w:t>
      </w:r>
    </w:p>
    <w:p>
      <w:pPr>
        <w:pStyle w:val="Normal"/>
        <w:rPr>
          <w:rFonts w:eastAsia="MS Mincho"/>
          <w:b/>
          <w:lang w:val="x-none" w:eastAsia="x-none"/>
        </w:rPr>
      </w:pPr>
      <w:r>
        <w:rPr>
          <w:rFonts w:eastAsia="MS Mincho"/>
          <w:b/>
          <w:lang w:val="x-none" w:eastAsia="x-none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8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Zrušovací ustanovení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Zrušuje se obecně závazná vyhláška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č. 2/2020, kterou se stanoví systém shromažďování, sběru, přepravy, třídění, využívání a odstraňování komunálních odpadů a nakládání se stavebním odpadem na území obce Kleneč, ze dne 25. 5. 2020.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lang w:val="cs-CZ"/>
        </w:rPr>
      </w:pPr>
      <w:r>
        <w:rPr>
          <w:rFonts w:eastAsia="MS Mincho" w:ascii="Times New Roman" w:hAnsi="Times New Roman"/>
          <w:b/>
          <w:lang w:val="cs-CZ"/>
        </w:rPr>
      </w:r>
    </w:p>
    <w:p>
      <w:pPr>
        <w:pStyle w:val="Normal"/>
        <w:rPr>
          <w:rFonts w:eastAsia="MS Mincho"/>
          <w:b/>
          <w:lang w:val="x-none" w:eastAsia="x-none"/>
        </w:rPr>
      </w:pPr>
      <w:r>
        <w:rPr>
          <w:rFonts w:eastAsia="MS Mincho"/>
          <w:b/>
          <w:lang w:val="x-none" w:eastAsia="x-none"/>
        </w:rPr>
      </w:r>
      <w:r>
        <w:br w:type="page"/>
      </w:r>
    </w:p>
    <w:p>
      <w:pPr>
        <w:pStyle w:val="PlainText"/>
        <w:tabs>
          <w:tab w:val="clear" w:pos="709"/>
          <w:tab w:val="left" w:pos="4172" w:leader="none"/>
        </w:tabs>
        <w:spacing w:before="0" w:after="0"/>
        <w:jc w:val="center"/>
        <w:rPr>
          <w:rFonts w:ascii="Times New Roman" w:hAnsi="Times New Roman" w:eastAsia="MS Mincho"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9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Účinnost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počátkem</w:t>
      </w:r>
      <w:r>
        <w:rPr>
          <w:rFonts w:eastAsia="MS Mincho" w:ascii="Times New Roman" w:hAnsi="Times New Roman"/>
          <w:sz w:val="24"/>
          <w:szCs w:val="24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eastAsia="MS Mincho" w:ascii="Times New Roman" w:hAnsi="Times New Roman"/>
          <w:sz w:val="24"/>
          <w:szCs w:val="24"/>
        </w:rPr>
        <w:t>.</w:t>
        <w:b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Normal"/>
        <w:ind w:firstLine="708"/>
        <w:jc w:val="both"/>
        <w:rPr/>
      </w:pPr>
      <w:r>
        <w:rPr/>
      </w:r>
    </w:p>
    <w:tbl>
      <w:tblPr>
        <w:tblW w:w="9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499"/>
      </w:tblGrid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Zdeněk Justa v. r.</w:t>
            </w:r>
          </w:p>
          <w:p>
            <w:pPr>
              <w:pStyle w:val="Normal"/>
              <w:jc w:val="center"/>
              <w:rPr/>
            </w:pPr>
            <w:r>
              <w:rPr/>
              <w:t>místostarosta</w:t>
            </w:r>
          </w:p>
        </w:tc>
        <w:tc>
          <w:tcPr>
            <w:tcW w:w="4499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Bc. Aleš Kraus v. r.</w:t>
            </w:r>
          </w:p>
          <w:p>
            <w:pPr>
              <w:pStyle w:val="Normal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4"/>
          <w:szCs w:val="4"/>
        </w:rPr>
      </w:pPr>
      <w:r>
        <w:rPr/>
        <w:t xml:space="preserve"> </w:t>
      </w:r>
    </w:p>
    <w:sectPr>
      <w:footnotePr>
        <w:numFmt w:val="decimal"/>
      </w:footnotePr>
      <w:type w:val="nextPage"/>
      <w:pgSz w:w="11906" w:h="16838"/>
      <w:pgMar w:left="1021" w:right="1021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98" w:left="198"/>
        <w:jc w:val="both"/>
        <w:rPr>
          <w:color w:val="000000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>
        <w:rPr>
          <w:color w:val="000000"/>
        </w:rPr>
        <w:t xml:space="preserve">); </w:t>
      </w:r>
      <w:r>
        <w:rPr/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3">
    <w:p>
      <w:pPr>
        <w:pStyle w:val="FootnoteText"/>
        <w:ind w:hanging="198" w:left="198"/>
        <w:jc w:val="both"/>
        <w:rPr>
          <w:color w:val="000000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 xml:space="preserve">§ </w:t>
      </w:r>
      <w:r>
        <w:rPr>
          <w:color w:val="000000"/>
        </w:rPr>
        <w:t>11 odst. 2 písm. j) zákona o odpadech (</w:t>
      </w:r>
      <w:r>
        <w:rPr>
          <w:i/>
          <w:color w:val="000000"/>
        </w:rPr>
        <w:t>Pro účely tohoto zákona se dále rozumí stavebním a demoličním odpadem odpad vznikající při stavebních a demoličních činnostech.</w:t>
      </w:r>
      <w:r>
        <w:rPr>
          <w:color w:val="000000"/>
        </w:rPr>
        <w:t>)</w:t>
      </w:r>
    </w:p>
  </w:footnote>
  <w:footnote w:id="4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>podle § 17 odst. 6 zákona o odpadech obec uzavírá s osobou písemnou smlouvu s uvedením ceny</w:t>
      </w:r>
    </w:p>
  </w:footnote>
  <w:footnote w:id="5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16 zákona č. 542/2020 Sb.: (</w:t>
      </w:r>
      <w:r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rPr/>
        <w:t>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/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sz w:val="24"/>
        <w:szCs w:val="24"/>
        <w:rFonts w:ascii="Times New Roman" w:hAnsi="Times New Roman" w:cs="Times New Roman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700" w:hanging="36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/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2c0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osttextChar" w:customStyle="1">
    <w:name w:val="Prostý text Char"/>
    <w:link w:val="PlainText"/>
    <w:qFormat/>
    <w:rsid w:val="00792c01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Zkladntext2Char" w:customStyle="1">
    <w:name w:val="Základní text 2 Char"/>
    <w:link w:val="BodyText2"/>
    <w:qFormat/>
    <w:rsid w:val="00792c01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Znakypropoznmkupodarou" w:customStyle="1">
    <w:name w:val="Znaky pro poznámku pod čarou"/>
    <w:qFormat/>
    <w:rsid w:val="009b1c77"/>
    <w:rPr>
      <w:vertAlign w:val="superscript"/>
    </w:rPr>
  </w:style>
  <w:style w:type="character" w:styleId="TextpoznpodarouChar" w:customStyle="1">
    <w:name w:val="Text pozn. pod čarou Char"/>
    <w:qFormat/>
    <w:rsid w:val="00792c0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hlavChar" w:customStyle="1">
    <w:name w:val="Záhlav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kladntextChar" w:customStyle="1">
    <w:name w:val="Základní text Char"/>
    <w:uiPriority w:val="99"/>
    <w:semiHidden/>
    <w:qFormat/>
    <w:rsid w:val="00bc7034"/>
    <w:rPr>
      <w:rFonts w:ascii="Times New Roman" w:hAnsi="Times New Roman" w:eastAsia="Times New Roman"/>
      <w:sz w:val="24"/>
      <w:szCs w:val="24"/>
    </w:rPr>
  </w:style>
  <w:style w:type="character" w:styleId="Zkladntext3Char" w:customStyle="1">
    <w:name w:val="Základní text 3 Char"/>
    <w:link w:val="BodyText3"/>
    <w:qFormat/>
    <w:rsid w:val="00bc7034"/>
    <w:rPr>
      <w:rFonts w:ascii="Times New Roman" w:hAnsi="Times New Roman" w:eastAsia="Times New Roman"/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d371d6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rsid w:val="007737e0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Znakyprovysvtlivky" w:customStyle="1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c7034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lainText">
    <w:name w:val="Plain Text"/>
    <w:basedOn w:val="Normal"/>
    <w:link w:val="ProsttextChar"/>
    <w:qFormat/>
    <w:rsid w:val="00792c01"/>
    <w:pPr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link w:val="Zkladntext2Char"/>
    <w:qFormat/>
    <w:rsid w:val="00792c01"/>
    <w:pPr>
      <w:jc w:val="center"/>
    </w:pPr>
    <w:rPr>
      <w:b/>
      <w:sz w:val="28"/>
      <w:szCs w:val="20"/>
    </w:rPr>
  </w:style>
  <w:style w:type="paragraph" w:styleId="FootnoteText">
    <w:name w:val="Footnote Text"/>
    <w:basedOn w:val="Normal"/>
    <w:link w:val="TextpoznpodarouChar"/>
    <w:rsid w:val="00792c01"/>
    <w:pPr/>
    <w:rPr>
      <w:sz w:val="20"/>
      <w:szCs w:val="20"/>
    </w:rPr>
  </w:style>
  <w:style w:type="paragraph" w:styleId="Prosttext1" w:customStyle="1">
    <w:name w:val="Prostý text1"/>
    <w:basedOn w:val="Normal"/>
    <w:qFormat/>
    <w:rsid w:val="009b1c77"/>
    <w:pPr/>
    <w:rPr>
      <w:rFonts w:ascii="Courier New" w:hAnsi="Courier New"/>
      <w:sz w:val="20"/>
      <w:szCs w:val="20"/>
      <w:lang w:val="x-none" w:eastAsia="ar-SA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qFormat/>
    <w:rsid w:val="00bc7034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371d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LibreOffice/7.6.2.1$Windows_X86_64 LibreOffice_project/56f7684011345957bbf33a7ee678afaf4d2ba333</Application>
  <AppVersion>15.0000</AppVersion>
  <Pages>4</Pages>
  <Words>1251</Words>
  <Characters>7160</Characters>
  <CharactersWithSpaces>8311</CharactersWithSpaces>
  <Paragraphs>84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2024-04-17T08:29:00Z</dcterms:created>
  <dc:creator>Urad</dc:creator>
  <dc:description/>
  <dc:language>cs-CZ</dc:language>
  <cp:lastModifiedBy/>
  <cp:lastPrinted>2024-06-06T16:33:36Z</cp:lastPrinted>
  <dcterms:modified xsi:type="dcterms:W3CDTF">2024-06-06T16:33:51Z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