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63" w:rsidRDefault="000521AF">
      <w:pPr>
        <w:pStyle w:val="Nzev"/>
      </w:pPr>
      <w:r>
        <w:t>Obec Dlouhá Loučka</w:t>
      </w:r>
      <w:r>
        <w:br/>
        <w:t>Zastupitelstvo obce Dlouhá Loučka</w:t>
      </w:r>
    </w:p>
    <w:p w:rsidR="00471B63" w:rsidRDefault="000521AF">
      <w:pPr>
        <w:pStyle w:val="Nadpis1"/>
        <w:numPr>
          <w:ilvl w:val="0"/>
          <w:numId w:val="1"/>
        </w:numPr>
      </w:pPr>
      <w:r>
        <w:t>Obecně závazná vyhláška obce Dlouhá Loučka</w:t>
      </w:r>
      <w:r>
        <w:br/>
        <w:t>o místním poplatku ze vstupného</w:t>
      </w:r>
    </w:p>
    <w:p w:rsidR="00471B63" w:rsidRDefault="000521AF">
      <w:pPr>
        <w:pStyle w:val="UvodniVeta"/>
      </w:pPr>
      <w:r>
        <w:t>Zastupitelstvo obce Dlouhá L</w:t>
      </w:r>
      <w:r w:rsidR="00BF018B">
        <w:t>oučka se na svém zasedání dne 30</w:t>
      </w:r>
      <w:bookmarkStart w:id="0" w:name="_GoBack"/>
      <w:bookmarkEnd w:id="0"/>
      <w:r>
        <w:t xml:space="preserve">. ledna 2024 usneslo vydat na základě § 14 zákona č. 565/1990 Sb., </w:t>
      </w:r>
      <w: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>
        <w:t xml:space="preserve"> (dále jen „vyhláška“):</w:t>
      </w:r>
    </w:p>
    <w:p w:rsidR="00471B63" w:rsidRDefault="000521AF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471B63" w:rsidRDefault="000521AF">
      <w:pPr>
        <w:pStyle w:val="Odstavec"/>
        <w:numPr>
          <w:ilvl w:val="0"/>
          <w:numId w:val="2"/>
        </w:numPr>
      </w:pPr>
      <w:r>
        <w:t>Obec Dlouhá Loučka touto vyhláškou zavádí místní poplatek ze vstupného (dále jen „poplatek“).</w:t>
      </w:r>
    </w:p>
    <w:p w:rsidR="00471B63" w:rsidRDefault="000521A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471B63" w:rsidRDefault="000521AF">
      <w:pPr>
        <w:pStyle w:val="Nadpis2"/>
        <w:numPr>
          <w:ilvl w:val="1"/>
          <w:numId w:val="1"/>
        </w:numPr>
      </w:pPr>
      <w:r>
        <w:t>Čl. 2</w:t>
      </w:r>
      <w:r>
        <w:br/>
        <w:t>Předmět poplatku a poplatník</w:t>
      </w:r>
    </w:p>
    <w:p w:rsidR="00471B63" w:rsidRDefault="000521AF">
      <w:pPr>
        <w:pStyle w:val="Odstavec"/>
        <w:numPr>
          <w:ilvl w:val="0"/>
          <w:numId w:val="2"/>
        </w:numPr>
      </w:pPr>
      <w:r>
        <w:t>Poplatek ze vstupného se vybírá ze vstupného</w:t>
      </w:r>
      <w:r>
        <w:t xml:space="preserve"> </w:t>
      </w:r>
      <w:proofErr w:type="gramStart"/>
      <w:r>
        <w:t>na</w:t>
      </w:r>
      <w:proofErr w:type="gramEnd"/>
    </w:p>
    <w:p w:rsidR="00471B63" w:rsidRDefault="000521AF">
      <w:pPr>
        <w:pStyle w:val="Odstavec"/>
        <w:numPr>
          <w:ilvl w:val="1"/>
          <w:numId w:val="2"/>
        </w:numPr>
      </w:pPr>
      <w:r>
        <w:t>kulturní akce,</w:t>
      </w:r>
    </w:p>
    <w:p w:rsidR="00471B63" w:rsidRDefault="000521AF">
      <w:pPr>
        <w:pStyle w:val="Odstavec"/>
        <w:numPr>
          <w:ilvl w:val="1"/>
          <w:numId w:val="2"/>
        </w:numPr>
      </w:pPr>
      <w:r>
        <w:t>prodejní akce,</w:t>
      </w:r>
    </w:p>
    <w:p w:rsidR="00471B63" w:rsidRDefault="000521AF">
      <w:pPr>
        <w:pStyle w:val="Odstavec"/>
        <w:numPr>
          <w:ilvl w:val="1"/>
          <w:numId w:val="2"/>
        </w:numPr>
      </w:pPr>
      <w:r>
        <w:t>reklamní akce,</w:t>
      </w:r>
    </w:p>
    <w:p w:rsidR="00471B63" w:rsidRDefault="000521AF">
      <w:pPr>
        <w:pStyle w:val="Odstavec"/>
      </w:pPr>
      <w:r>
        <w:t>sníženého o daň z přidané hodnoty, je-li v ceně vstupného obsažena</w:t>
      </w:r>
      <w:r>
        <w:rPr>
          <w:rStyle w:val="Ukotvenpoznmkypodarou"/>
        </w:rPr>
        <w:footnoteReference w:id="2"/>
      </w:r>
      <w:r>
        <w:t>.</w:t>
      </w:r>
    </w:p>
    <w:p w:rsidR="00471B63" w:rsidRDefault="000521AF">
      <w:pPr>
        <w:pStyle w:val="Odstavec"/>
        <w:numPr>
          <w:ilvl w:val="0"/>
          <w:numId w:val="2"/>
        </w:numPr>
      </w:pPr>
      <w:r>
        <w:t>Poplatek ze vstupného platí fyzické a právnické osoby, které akci pořádají</w:t>
      </w:r>
      <w:r>
        <w:rPr>
          <w:rStyle w:val="Ukotvenpoznmkypodarou"/>
        </w:rPr>
        <w:footnoteReference w:id="3"/>
      </w:r>
      <w:r>
        <w:t>.</w:t>
      </w:r>
    </w:p>
    <w:p w:rsidR="00471B63" w:rsidRDefault="000521AF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471B63" w:rsidRDefault="000521AF">
      <w:pPr>
        <w:pStyle w:val="Odstavec"/>
        <w:numPr>
          <w:ilvl w:val="0"/>
          <w:numId w:val="2"/>
        </w:numPr>
      </w:pPr>
      <w:r>
        <w:t>Poplatník je povinen podat správci</w:t>
      </w:r>
      <w:r>
        <w:t xml:space="preserve"> poplatku ohlášení nejpozději do 30 dnů před konáním akce; 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:rsidR="00471B63" w:rsidRDefault="000521AF">
      <w:pPr>
        <w:pStyle w:val="Odstavec"/>
        <w:numPr>
          <w:ilvl w:val="0"/>
          <w:numId w:val="2"/>
        </w:numPr>
      </w:pPr>
      <w:r>
        <w:t>Dojde-li ke změně údajů uvedených v 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:rsidR="00471B63" w:rsidRDefault="000521AF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:rsidR="00471B63" w:rsidRDefault="000521AF">
      <w:pPr>
        <w:pStyle w:val="Odstavec"/>
      </w:pPr>
      <w:r>
        <w:t xml:space="preserve">Sazba poplatku </w:t>
      </w:r>
      <w:r>
        <w:t xml:space="preserve">činí z vybraného vstupného </w:t>
      </w:r>
      <w:proofErr w:type="gramStart"/>
      <w:r>
        <w:t>na</w:t>
      </w:r>
      <w:proofErr w:type="gramEnd"/>
    </w:p>
    <w:p w:rsidR="00471B63" w:rsidRDefault="000521AF">
      <w:pPr>
        <w:pStyle w:val="Odstavec"/>
        <w:numPr>
          <w:ilvl w:val="1"/>
          <w:numId w:val="2"/>
        </w:numPr>
      </w:pPr>
      <w:r>
        <w:t>kulturní akce 10 %,</w:t>
      </w:r>
    </w:p>
    <w:p w:rsidR="00471B63" w:rsidRDefault="000521AF">
      <w:pPr>
        <w:pStyle w:val="Odstavec"/>
        <w:numPr>
          <w:ilvl w:val="1"/>
          <w:numId w:val="2"/>
        </w:numPr>
      </w:pPr>
      <w:r>
        <w:lastRenderedPageBreak/>
        <w:t>prodejní akce 10 %,</w:t>
      </w:r>
    </w:p>
    <w:p w:rsidR="00471B63" w:rsidRDefault="000521AF">
      <w:pPr>
        <w:pStyle w:val="Odstavec"/>
        <w:numPr>
          <w:ilvl w:val="1"/>
          <w:numId w:val="2"/>
        </w:numPr>
      </w:pPr>
      <w:r>
        <w:t>reklamní akce 10 %.</w:t>
      </w:r>
    </w:p>
    <w:p w:rsidR="00471B63" w:rsidRDefault="000521AF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:rsidR="00471B63" w:rsidRDefault="000521AF">
      <w:pPr>
        <w:pStyle w:val="Odstavec"/>
      </w:pPr>
      <w:r>
        <w:t>Poplatek je splatný ve lhůtě 30 dnů ode dne skončení akce.</w:t>
      </w:r>
    </w:p>
    <w:p w:rsidR="00471B63" w:rsidRDefault="000521AF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 </w:t>
      </w:r>
    </w:p>
    <w:p w:rsidR="00471B63" w:rsidRDefault="000521AF">
      <w:pPr>
        <w:pStyle w:val="Odstavec"/>
        <w:numPr>
          <w:ilvl w:val="0"/>
          <w:numId w:val="2"/>
        </w:numPr>
      </w:pPr>
      <w:r>
        <w:t>Poplatek ze vstupného se neplatí z akcí, jejichž celý výtěžek j</w:t>
      </w:r>
      <w:r>
        <w:t>e odveden na charitativní a veřejně prospěšné účely</w:t>
      </w:r>
      <w:r>
        <w:rPr>
          <w:rStyle w:val="Ukotvenpoznmkypodarou"/>
        </w:rPr>
        <w:footnoteReference w:id="6"/>
      </w:r>
      <w:r>
        <w:t>.</w:t>
      </w:r>
    </w:p>
    <w:p w:rsidR="00471B63" w:rsidRDefault="000521AF">
      <w:pPr>
        <w:pStyle w:val="Odstavec"/>
        <w:numPr>
          <w:ilvl w:val="0"/>
          <w:numId w:val="2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:rsidR="00471B63" w:rsidRDefault="000521AF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471B63" w:rsidRDefault="000521AF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471B63" w:rsidRDefault="000521AF">
      <w:pPr>
        <w:pStyle w:val="Odstavec"/>
        <w:numPr>
          <w:ilvl w:val="0"/>
          <w:numId w:val="2"/>
        </w:numPr>
      </w:pPr>
      <w:r>
        <w:t>Zrušuje se obecně závazná vyhláška č. 4/2019, o místním poplatku ze vstupného, ze dne 20. prosince 2019.</w:t>
      </w:r>
    </w:p>
    <w:p w:rsidR="00471B63" w:rsidRDefault="000521AF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:rsidR="00471B63" w:rsidRDefault="000521AF">
      <w:pPr>
        <w:pStyle w:val="Odstavec"/>
      </w:pPr>
      <w:r>
        <w:t>Tato vyhláška nabývá</w:t>
      </w:r>
      <w:r>
        <w:t xml:space="preserve"> účinnosti dnem 1. ledna 2025.</w:t>
      </w:r>
    </w:p>
    <w:tbl>
      <w:tblPr>
        <w:tblW w:w="96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71B63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B63" w:rsidRDefault="000521AF">
            <w:pPr>
              <w:pStyle w:val="PodpisovePole"/>
            </w:pPr>
            <w:r>
              <w:t>Mgr. Libor Cach v. r.</w:t>
            </w:r>
            <w:r>
              <w:br/>
              <w:t xml:space="preserve"> starosta 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B63" w:rsidRDefault="000521AF">
            <w:pPr>
              <w:pStyle w:val="PodpisovePole"/>
            </w:pPr>
            <w:r>
              <w:t>Jiří Horák v. r.</w:t>
            </w:r>
            <w:r>
              <w:br/>
              <w:t xml:space="preserve"> místostarosta </w:t>
            </w:r>
          </w:p>
        </w:tc>
      </w:tr>
      <w:tr w:rsidR="00471B63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B63" w:rsidRDefault="00471B63">
            <w:pPr>
              <w:pStyle w:val="PodpisovePole"/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B63" w:rsidRDefault="00471B63">
            <w:pPr>
              <w:pStyle w:val="PodpisovePole"/>
            </w:pPr>
          </w:p>
        </w:tc>
      </w:tr>
    </w:tbl>
    <w:p w:rsidR="00471B63" w:rsidRDefault="00471B63"/>
    <w:sectPr w:rsidR="00471B6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AF" w:rsidRDefault="000521AF">
      <w:r>
        <w:separator/>
      </w:r>
    </w:p>
  </w:endnote>
  <w:endnote w:type="continuationSeparator" w:id="0">
    <w:p w:rsidR="000521AF" w:rsidRDefault="0005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AF" w:rsidRDefault="000521AF">
      <w:r>
        <w:separator/>
      </w:r>
    </w:p>
  </w:footnote>
  <w:footnote w:type="continuationSeparator" w:id="0">
    <w:p w:rsidR="000521AF" w:rsidRDefault="000521AF">
      <w:r>
        <w:continuationSeparator/>
      </w:r>
    </w:p>
  </w:footnote>
  <w:footnote w:id="1">
    <w:p w:rsidR="00471B63" w:rsidRDefault="000521AF">
      <w:pPr>
        <w:pStyle w:val="Poznmkapodarou"/>
      </w:pPr>
      <w:r>
        <w:footnoteRef/>
      </w:r>
      <w:r>
        <w:tab/>
        <w:t>§ 15 odst. 1 zákona o místních poplatcích</w:t>
      </w:r>
    </w:p>
  </w:footnote>
  <w:footnote w:id="2">
    <w:p w:rsidR="00471B63" w:rsidRDefault="000521AF">
      <w:pPr>
        <w:pStyle w:val="Poznmkapodarou"/>
      </w:pPr>
      <w:r>
        <w:footnoteRef/>
      </w:r>
      <w:r>
        <w:tab/>
        <w:t xml:space="preserve">§ 6 odst. 1 zákona o místních </w:t>
      </w:r>
      <w:r>
        <w:t>poplatcích</w:t>
      </w:r>
    </w:p>
  </w:footnote>
  <w:footnote w:id="3">
    <w:p w:rsidR="00471B63" w:rsidRDefault="000521AF">
      <w:pPr>
        <w:pStyle w:val="Poznmkapodarou"/>
      </w:pPr>
      <w:r>
        <w:footnoteRef/>
      </w:r>
      <w:r>
        <w:tab/>
        <w:t>§ 6 odst. 2 zákona o místních poplatcích</w:t>
      </w:r>
    </w:p>
  </w:footnote>
  <w:footnote w:id="4">
    <w:p w:rsidR="00471B63" w:rsidRDefault="000521AF">
      <w:pPr>
        <w:pStyle w:val="Poznmkapodarou"/>
      </w:pPr>
      <w: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471B63" w:rsidRDefault="000521AF">
      <w:pPr>
        <w:pStyle w:val="Poznmkapodarou"/>
      </w:pPr>
      <w:r>
        <w:footnoteRef/>
      </w:r>
      <w:r>
        <w:tab/>
        <w:t>§ 14a odst. 4 zákona o místních poplatcích</w:t>
      </w:r>
    </w:p>
  </w:footnote>
  <w:footnote w:id="6">
    <w:p w:rsidR="00471B63" w:rsidRDefault="000521AF">
      <w:pPr>
        <w:pStyle w:val="Poznmkapodarou"/>
      </w:pPr>
      <w:r>
        <w:footnoteRef/>
      </w:r>
      <w:r>
        <w:tab/>
      </w:r>
      <w:r>
        <w:t>§ 6 odst. 1 věta poslední zákona o místních poplatcích</w:t>
      </w:r>
    </w:p>
  </w:footnote>
  <w:footnote w:id="7">
    <w:p w:rsidR="00471B63" w:rsidRDefault="000521AF">
      <w:pPr>
        <w:pStyle w:val="Poznmkapodarou"/>
      </w:pPr>
      <w: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7633"/>
    <w:multiLevelType w:val="multilevel"/>
    <w:tmpl w:val="CA722D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775F4B9C"/>
    <w:multiLevelType w:val="multilevel"/>
    <w:tmpl w:val="DAF8E9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B63"/>
    <w:rsid w:val="000521AF"/>
    <w:rsid w:val="00471B63"/>
    <w:rsid w:val="00B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1836</Characters>
  <Application>Microsoft Office Word</Application>
  <DocSecurity>0</DocSecurity>
  <Lines>15</Lines>
  <Paragraphs>4</Paragraphs>
  <ScaleCrop>false</ScaleCrop>
  <Company>Hewlett-Packard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starosta</cp:lastModifiedBy>
  <cp:revision>1</cp:revision>
  <dcterms:created xsi:type="dcterms:W3CDTF">2024-01-31T09:41:00Z</dcterms:created>
  <dcterms:modified xsi:type="dcterms:W3CDTF">2024-01-31T09:43:00Z</dcterms:modified>
  <dc:language>cs-CZ</dc:language>
</cp:coreProperties>
</file>