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4B" w:rsidRDefault="00BE524B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96746" cy="79057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ŘEBUSICE znak barva -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66" cy="80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6F8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916F8">
        <w:rPr>
          <w:rFonts w:ascii="Arial" w:hAnsi="Arial" w:cs="Arial"/>
          <w:b/>
        </w:rPr>
        <w:t xml:space="preserve"> TŘEBUSICE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16F8">
        <w:rPr>
          <w:rFonts w:ascii="Arial" w:hAnsi="Arial" w:cs="Arial"/>
          <w:b/>
        </w:rPr>
        <w:t>Třebusice</w:t>
      </w:r>
    </w:p>
    <w:p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16F8">
        <w:rPr>
          <w:rFonts w:ascii="Arial" w:hAnsi="Arial" w:cs="Arial"/>
          <w:b/>
        </w:rPr>
        <w:t xml:space="preserve">Třebusice </w:t>
      </w: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16F8">
        <w:rPr>
          <w:rFonts w:ascii="Arial" w:hAnsi="Arial" w:cs="Arial"/>
          <w:b w:val="0"/>
          <w:sz w:val="22"/>
          <w:szCs w:val="22"/>
        </w:rPr>
        <w:t>Třebusice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916F8">
        <w:rPr>
          <w:rFonts w:ascii="Arial" w:hAnsi="Arial" w:cs="Arial"/>
          <w:b w:val="0"/>
          <w:sz w:val="22"/>
          <w:szCs w:val="22"/>
        </w:rPr>
        <w:t xml:space="preserve">30. 11. 2022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F055A" w:rsidRPr="003F055A">
        <w:rPr>
          <w:rFonts w:ascii="Arial" w:hAnsi="Arial" w:cs="Arial"/>
          <w:b w:val="0"/>
          <w:sz w:val="22"/>
          <w:szCs w:val="22"/>
        </w:rPr>
        <w:t>10/30.11.2022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16F8">
        <w:rPr>
          <w:rFonts w:ascii="Arial" w:hAnsi="Arial" w:cs="Arial"/>
          <w:sz w:val="22"/>
          <w:szCs w:val="22"/>
        </w:rPr>
        <w:t>Třebusice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916F8">
        <w:rPr>
          <w:rFonts w:ascii="Arial" w:hAnsi="Arial" w:cs="Arial"/>
          <w:sz w:val="22"/>
          <w:szCs w:val="22"/>
        </w:rPr>
        <w:t>Třebusice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Pr="00A0144B" w:rsidRDefault="00716519" w:rsidP="00F50F46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144B">
        <w:rPr>
          <w:rFonts w:ascii="Arial" w:hAnsi="Arial" w:cs="Arial"/>
          <w:sz w:val="22"/>
          <w:szCs w:val="22"/>
        </w:rPr>
        <w:t xml:space="preserve">Plátce </w:t>
      </w:r>
      <w:r w:rsidR="00C874B5" w:rsidRPr="00A0144B">
        <w:rPr>
          <w:rFonts w:ascii="Arial" w:hAnsi="Arial" w:cs="Arial"/>
          <w:sz w:val="22"/>
          <w:szCs w:val="22"/>
        </w:rPr>
        <w:t xml:space="preserve">poplatku </w:t>
      </w:r>
      <w:r w:rsidRPr="00A0144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916F8" w:rsidRPr="00A0144B">
        <w:rPr>
          <w:rFonts w:ascii="Arial" w:hAnsi="Arial" w:cs="Arial"/>
          <w:sz w:val="22"/>
          <w:szCs w:val="22"/>
        </w:rPr>
        <w:t>15</w:t>
      </w:r>
      <w:r w:rsidRPr="00A0144B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A0144B">
        <w:rPr>
          <w:rFonts w:ascii="Arial" w:hAnsi="Arial" w:cs="Arial"/>
          <w:sz w:val="22"/>
          <w:szCs w:val="22"/>
        </w:rPr>
        <w:t xml:space="preserve"> poplatku</w:t>
      </w:r>
      <w:r w:rsidRPr="00A0144B">
        <w:rPr>
          <w:rFonts w:ascii="Arial" w:hAnsi="Arial" w:cs="Arial"/>
          <w:sz w:val="22"/>
          <w:szCs w:val="22"/>
        </w:rPr>
        <w:t xml:space="preserve">. </w:t>
      </w:r>
      <w:r w:rsidR="00A0144B" w:rsidRPr="00A0144B">
        <w:rPr>
          <w:rFonts w:ascii="Arial" w:hAnsi="Arial" w:cs="Arial"/>
          <w:sz w:val="22"/>
          <w:szCs w:val="22"/>
        </w:rPr>
        <w:t>Pozbytí postavení plátce ohlásí plátce</w:t>
      </w:r>
      <w:r w:rsidR="00A0144B">
        <w:rPr>
          <w:rFonts w:ascii="Arial" w:hAnsi="Arial" w:cs="Arial"/>
          <w:sz w:val="22"/>
          <w:szCs w:val="22"/>
        </w:rPr>
        <w:t xml:space="preserve"> </w:t>
      </w:r>
      <w:r w:rsidR="00A0144B" w:rsidRPr="00A0144B">
        <w:rPr>
          <w:rFonts w:ascii="Arial" w:hAnsi="Arial" w:cs="Arial"/>
          <w:sz w:val="22"/>
          <w:szCs w:val="22"/>
        </w:rPr>
        <w:t>poplatku správci poplatku ve lhůtě 15 dnů.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4B6FD5" w:rsidRDefault="004B6FD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7916F8">
        <w:rPr>
          <w:rFonts w:ascii="Arial" w:hAnsi="Arial" w:cs="Arial"/>
          <w:sz w:val="22"/>
          <w:szCs w:val="22"/>
        </w:rPr>
        <w:t>činí 30</w:t>
      </w:r>
      <w:r w:rsidR="00E26EDC">
        <w:rPr>
          <w:rFonts w:ascii="Arial" w:hAnsi="Arial" w:cs="Arial"/>
          <w:sz w:val="22"/>
          <w:szCs w:val="22"/>
        </w:rPr>
        <w:t xml:space="preserve"> l.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916F8">
        <w:rPr>
          <w:rFonts w:ascii="Arial" w:hAnsi="Arial" w:cs="Arial"/>
          <w:sz w:val="22"/>
          <w:szCs w:val="22"/>
        </w:rPr>
        <w:t xml:space="preserve">0,6 </w:t>
      </w:r>
      <w:r w:rsidR="00330165">
        <w:rPr>
          <w:rFonts w:ascii="Arial" w:hAnsi="Arial" w:cs="Arial"/>
          <w:sz w:val="22"/>
          <w:szCs w:val="22"/>
        </w:rPr>
        <w:t>Kč za l.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F507D3" w:rsidRPr="00F507D3" w:rsidRDefault="00F507D3" w:rsidP="00F507D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507D3" w:rsidRPr="00F507D3" w:rsidRDefault="00F507D3" w:rsidP="00F507D3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07D3"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705E9B">
        <w:rPr>
          <w:rFonts w:ascii="Arial" w:hAnsi="Arial" w:cs="Arial"/>
          <w:sz w:val="22"/>
          <w:szCs w:val="22"/>
        </w:rPr>
        <w:t>konce ledna</w:t>
      </w:r>
      <w:r w:rsidRPr="00F507D3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F507D3" w:rsidRPr="00F507D3" w:rsidRDefault="00F507D3" w:rsidP="00A0144B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507D3">
        <w:rPr>
          <w:rFonts w:ascii="Arial" w:hAnsi="Arial" w:cs="Arial"/>
          <w:sz w:val="22"/>
          <w:szCs w:val="22"/>
        </w:rPr>
        <w:t xml:space="preserve">Plátce poplatku, který nabyl postavení plátce poplatku po datu uvedeném v odstavci 1, odvede </w:t>
      </w:r>
      <w:r>
        <w:rPr>
          <w:rFonts w:ascii="Arial" w:hAnsi="Arial" w:cs="Arial"/>
          <w:sz w:val="22"/>
          <w:szCs w:val="22"/>
        </w:rPr>
        <w:t xml:space="preserve">vybraný poplatek nejpozději </w:t>
      </w:r>
      <w:r w:rsidR="00705E9B">
        <w:rPr>
          <w:rFonts w:ascii="Arial" w:hAnsi="Arial" w:cs="Arial"/>
          <w:sz w:val="22"/>
          <w:szCs w:val="22"/>
        </w:rPr>
        <w:t>do 20</w:t>
      </w:r>
      <w:r w:rsidR="00A327A5">
        <w:rPr>
          <w:rFonts w:ascii="Arial" w:hAnsi="Arial" w:cs="Arial"/>
          <w:sz w:val="22"/>
          <w:szCs w:val="22"/>
        </w:rPr>
        <w:t xml:space="preserve"> </w:t>
      </w:r>
      <w:r w:rsidR="00A0144B" w:rsidRPr="00A0144B">
        <w:rPr>
          <w:rFonts w:ascii="Arial" w:hAnsi="Arial" w:cs="Arial"/>
          <w:sz w:val="22"/>
          <w:szCs w:val="22"/>
        </w:rPr>
        <w:t>dne měsíce následujícího po měsíci, ve</w:t>
      </w:r>
      <w:r w:rsidR="00A0144B">
        <w:rPr>
          <w:rFonts w:ascii="Arial" w:hAnsi="Arial" w:cs="Arial"/>
          <w:sz w:val="22"/>
          <w:szCs w:val="22"/>
        </w:rPr>
        <w:t xml:space="preserve"> kterém tato skutečnost nastala</w:t>
      </w:r>
      <w:r>
        <w:rPr>
          <w:rFonts w:ascii="Arial" w:hAnsi="Arial" w:cs="Arial"/>
          <w:sz w:val="22"/>
          <w:szCs w:val="22"/>
        </w:rPr>
        <w:t>.</w:t>
      </w:r>
    </w:p>
    <w:p w:rsidR="00F507D3" w:rsidRPr="00F507D3" w:rsidRDefault="00F507D3" w:rsidP="00F507D3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507D3"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vyhlášky.</w:t>
      </w:r>
    </w:p>
    <w:p w:rsidR="00CC416D" w:rsidRPr="00F507D3" w:rsidRDefault="00F507D3" w:rsidP="00F507D3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F507D3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4B6FD5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4B6FD5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4B6FD5">
      <w:pPr>
        <w:pStyle w:val="slalnk"/>
        <w:spacing w:before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4B6FD5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4B6FD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4B6FD5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</w:t>
      </w:r>
      <w:r w:rsidR="00BE524B">
        <w:t xml:space="preserve">. </w:t>
      </w:r>
      <w:r w:rsidR="00BE524B" w:rsidRPr="00BE524B">
        <w:rPr>
          <w:rFonts w:ascii="Arial" w:hAnsi="Arial" w:cs="Arial"/>
          <w:sz w:val="22"/>
          <w:szCs w:val="22"/>
        </w:rPr>
        <w:t>2/2021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E524B">
        <w:rPr>
          <w:rFonts w:ascii="Arial" w:hAnsi="Arial" w:cs="Arial"/>
          <w:i/>
          <w:sz w:val="22"/>
          <w:szCs w:val="22"/>
        </w:rPr>
        <w:t>13. 10. 2021.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BE524B" w:rsidRDefault="00F71057" w:rsidP="00BE524B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BE524B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BE524B" w:rsidRPr="00BE524B">
        <w:rPr>
          <w:rFonts w:ascii="Arial" w:hAnsi="Arial" w:cs="Arial"/>
          <w:b w:val="0"/>
          <w:sz w:val="22"/>
          <w:szCs w:val="22"/>
        </w:rPr>
        <w:t>1. 1. 2023.</w:t>
      </w:r>
    </w:p>
    <w:p w:rsidR="00BE524B" w:rsidRDefault="00BE524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B6FD5" w:rsidRDefault="004B6FD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B6FD5" w:rsidRPr="002E0EAD" w:rsidRDefault="004B6FD5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BE524B">
      <w:pPr>
        <w:pStyle w:val="Zkladntext"/>
        <w:tabs>
          <w:tab w:val="left" w:pos="1440"/>
          <w:tab w:val="left" w:pos="3544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bookmarkStart w:id="0" w:name="_GoBack"/>
      <w:bookmarkEnd w:id="0"/>
    </w:p>
    <w:p w:rsidR="00131160" w:rsidRPr="002E0EAD" w:rsidRDefault="00131160" w:rsidP="00BE524B">
      <w:pPr>
        <w:pStyle w:val="Zkladntext"/>
        <w:tabs>
          <w:tab w:val="left" w:pos="720"/>
          <w:tab w:val="left" w:pos="141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="00BE524B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BE524B" w:rsidP="00BE524B">
      <w:pPr>
        <w:pStyle w:val="Zkladntext"/>
        <w:tabs>
          <w:tab w:val="left" w:pos="1080"/>
          <w:tab w:val="left" w:pos="3119"/>
          <w:tab w:val="left" w:pos="4395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Kubín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Dita Losová Doubnerová</w:t>
      </w:r>
    </w:p>
    <w:p w:rsidR="00131160" w:rsidRPr="002E0EAD" w:rsidRDefault="00BE524B" w:rsidP="00BE524B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BB4" w:rsidRDefault="00BB6BB4">
      <w:r>
        <w:separator/>
      </w:r>
    </w:p>
  </w:endnote>
  <w:endnote w:type="continuationSeparator" w:id="0">
    <w:p w:rsidR="00BB6BB4" w:rsidRDefault="00BB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6E21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BB4" w:rsidRDefault="00BB6BB4">
      <w:r>
        <w:separator/>
      </w:r>
    </w:p>
  </w:footnote>
  <w:footnote w:type="continuationSeparator" w:id="0">
    <w:p w:rsidR="00BB6BB4" w:rsidRDefault="00BB6BB4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D686D6C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2"/>
  </w:num>
  <w:num w:numId="4">
    <w:abstractNumId w:val="9"/>
  </w:num>
  <w:num w:numId="5">
    <w:abstractNumId w:val="5"/>
  </w:num>
  <w:num w:numId="6">
    <w:abstractNumId w:val="27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  <w:num w:numId="13">
    <w:abstractNumId w:val="20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7"/>
  </w:num>
  <w:num w:numId="21">
    <w:abstractNumId w:val="23"/>
  </w:num>
  <w:num w:numId="22">
    <w:abstractNumId w:val="3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9"/>
  </w:num>
  <w:num w:numId="28">
    <w:abstractNumId w:val="2"/>
  </w:num>
  <w:num w:numId="29">
    <w:abstractNumId w:val="18"/>
  </w:num>
  <w:num w:numId="30">
    <w:abstractNumId w:val="1"/>
  </w:num>
  <w:num w:numId="31">
    <w:abstractNumId w:val="16"/>
  </w:num>
  <w:num w:numId="32">
    <w:abstractNumId w:val="1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55A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2900"/>
    <w:rsid w:val="00474813"/>
    <w:rsid w:val="004863D0"/>
    <w:rsid w:val="00486E21"/>
    <w:rsid w:val="004A2332"/>
    <w:rsid w:val="004B1994"/>
    <w:rsid w:val="004B4A8E"/>
    <w:rsid w:val="004B6FD5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0644"/>
    <w:rsid w:val="00531A57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5E9B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16F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6084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44B"/>
    <w:rsid w:val="00A05EA6"/>
    <w:rsid w:val="00A15124"/>
    <w:rsid w:val="00A273A2"/>
    <w:rsid w:val="00A318A9"/>
    <w:rsid w:val="00A327A5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6BB4"/>
    <w:rsid w:val="00BC17DA"/>
    <w:rsid w:val="00BC3CDA"/>
    <w:rsid w:val="00BD4FF4"/>
    <w:rsid w:val="00BE524B"/>
    <w:rsid w:val="00BF79B0"/>
    <w:rsid w:val="00C05C38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416D"/>
    <w:rsid w:val="00CC740B"/>
    <w:rsid w:val="00CC7BE1"/>
    <w:rsid w:val="00CD1790"/>
    <w:rsid w:val="00CD48A9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39A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07D3"/>
    <w:rsid w:val="00F51F7D"/>
    <w:rsid w:val="00F53039"/>
    <w:rsid w:val="00F55DE6"/>
    <w:rsid w:val="00F700F8"/>
    <w:rsid w:val="00F71057"/>
    <w:rsid w:val="00F716C9"/>
    <w:rsid w:val="00F8166C"/>
    <w:rsid w:val="00F8783F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0B67-C471-4651-B891-470655EF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957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10</cp:revision>
  <cp:lastPrinted>2015-10-16T08:54:00Z</cp:lastPrinted>
  <dcterms:created xsi:type="dcterms:W3CDTF">2022-11-15T13:34:00Z</dcterms:created>
  <dcterms:modified xsi:type="dcterms:W3CDTF">2022-12-07T17:09:00Z</dcterms:modified>
</cp:coreProperties>
</file>