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Zkladntext"/>
        <w:jc w:val="center"/>
        <w:rPr>
          <w:rFonts w:ascii="Arial" w:hAnsi="Arial" w:cs="Arial"/>
          <w:b/>
          <w:szCs w:val="24"/>
        </w:rPr>
      </w:pPr>
      <w:r>
        <w:rPr>
          <w:rFonts w:cs="Arial" w:ascii="Arial" w:hAnsi="Arial"/>
          <w:b/>
          <w:szCs w:val="24"/>
        </w:rPr>
        <w:t>OBEC HORNÍ ŘEDICE</w:t>
      </w:r>
    </w:p>
    <w:p>
      <w:pPr>
        <w:pStyle w:val="Zkladntext"/>
        <w:jc w:val="center"/>
        <w:rPr>
          <w:rFonts w:ascii="Arial" w:hAnsi="Arial" w:cs="Arial"/>
          <w:b/>
          <w:szCs w:val="24"/>
        </w:rPr>
      </w:pPr>
      <w:r>
        <w:rPr>
          <w:rFonts w:cs="Arial" w:ascii="Arial" w:hAnsi="Arial"/>
          <w:b/>
          <w:szCs w:val="24"/>
        </w:rPr>
        <w:t>Zastupitelstvo obce Horní Ředice</w:t>
      </w:r>
    </w:p>
    <w:p>
      <w:pPr>
        <w:pStyle w:val="NormlnIMP"/>
        <w:spacing w:lineRule="auto" w:line="240" w:before="0" w:after="120"/>
        <w:jc w:val="center"/>
        <w:rPr>
          <w:rFonts w:ascii="Arial" w:hAnsi="Arial" w:cs="Arial"/>
          <w:b/>
          <w:szCs w:val="24"/>
        </w:rPr>
      </w:pPr>
      <w:r>
        <w:rPr>
          <w:rFonts w:cs="Arial" w:ascii="Arial" w:hAnsi="Arial"/>
          <w:b/>
          <w:szCs w:val="24"/>
        </w:rPr>
        <w:t>Obecně závazná vyhláška</w:t>
      </w:r>
    </w:p>
    <w:p>
      <w:pPr>
        <w:pStyle w:val="Zkladntextodsazen"/>
        <w:ind w:hanging="0"/>
        <w:jc w:val="center"/>
        <w:rPr>
          <w:rFonts w:ascii="Arial" w:hAnsi="Arial" w:cs="Arial"/>
          <w:b/>
          <w:bCs/>
          <w:szCs w:val="24"/>
        </w:rPr>
      </w:pPr>
      <w:r>
        <w:rPr>
          <w:rFonts w:cs="Arial" w:ascii="Arial" w:hAnsi="Arial"/>
          <w:b/>
          <w:bCs/>
          <w:szCs w:val="24"/>
        </w:rPr>
        <w:t>o stanovení podmínek pro pořádání, průběh a ukončení veřejnosti přístupných sportovních a kulturních podniků, včetně tanečních zábav a diskoték a jiných kulturních podniků v rozsahu nezbytném k zajištění veřejného pořádku</w:t>
      </w:r>
    </w:p>
    <w:p>
      <w:pPr>
        <w:pStyle w:val="Zkladntext"/>
        <w:ind w:firstLine="708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Zkladntext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Zastupitelstvo obce Horní Ředice se na svém zasedání dne </w:t>
      </w:r>
      <w:r>
        <w:rPr>
          <w:rFonts w:cs="Arial" w:ascii="Arial" w:hAnsi="Arial"/>
          <w:sz w:val="22"/>
          <w:szCs w:val="22"/>
        </w:rPr>
        <w:t>12.12.2024</w:t>
      </w:r>
      <w:r>
        <w:rPr>
          <w:rFonts w:cs="Arial" w:ascii="Arial" w:hAnsi="Arial"/>
          <w:sz w:val="22"/>
          <w:szCs w:val="22"/>
        </w:rPr>
        <w:t xml:space="preserve"> usneslo vydat na základě § 10 písm. b), § 84 odst. 2 písm. h) zákona č. 128/2000 Sb., o obcích (obecní zřízení), ve znění pozdějších předpisů, tuto obecně závaznou vyhlášku: </w:t>
      </w:r>
    </w:p>
    <w:p>
      <w:pPr>
        <w:pStyle w:val="Normln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Hlava"/>
        <w:spacing w:before="0" w:after="0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Čl. 1</w:t>
      </w:r>
    </w:p>
    <w:p>
      <w:pPr>
        <w:pStyle w:val="Hlava"/>
        <w:spacing w:before="0" w:after="0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Podmínky pro pořádání, průběh a ukončení veřejnosti přístupných sportovních               a kulturních podniků, tanečních zábav a diskoték a jiných kulturních podniků</w:t>
      </w:r>
    </w:p>
    <w:p>
      <w:pPr>
        <w:pStyle w:val="Hlava"/>
        <w:spacing w:before="0" w:after="0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Zkladntext"/>
        <w:numPr>
          <w:ilvl w:val="0"/>
          <w:numId w:val="5"/>
        </w:numPr>
        <w:tabs>
          <w:tab w:val="clear" w:pos="708"/>
          <w:tab w:val="left" w:pos="700" w:leader="none"/>
          <w:tab w:val="left" w:pos="993" w:leader="none"/>
        </w:tabs>
        <w:ind w:hanging="284" w:left="426"/>
        <w:jc w:val="both"/>
        <w:rPr/>
      </w:pPr>
      <w:r>
        <w:rPr>
          <w:rStyle w:val="Standardnpsmoodstavce"/>
          <w:rFonts w:cs="Arial" w:ascii="Arial" w:hAnsi="Arial"/>
          <w:sz w:val="22"/>
          <w:szCs w:val="22"/>
        </w:rPr>
        <w:t>Veřejnosti přístupné sportovní a kulturní podniky, včetně tanečních zábav a diskoték, lze na území obce v budovách</w:t>
      </w:r>
      <w:r>
        <w:rPr>
          <w:rStyle w:val="FootnoteReference"/>
          <w:rStyle w:val="FootnoteReference"/>
          <w:rFonts w:cs="Arial" w:ascii="Arial" w:hAnsi="Arial"/>
          <w:sz w:val="22"/>
          <w:szCs w:val="22"/>
        </w:rPr>
        <w:footnoteReference w:id="2"/>
      </w:r>
      <w:r>
        <w:rPr>
          <w:rStyle w:val="Standardnpsmoodstavce"/>
          <w:rFonts w:cs="Arial" w:ascii="Arial" w:hAnsi="Arial"/>
          <w:sz w:val="22"/>
          <w:szCs w:val="22"/>
        </w:rPr>
        <w:t xml:space="preserve"> provozovat pouze v době od 8,00 do 3,00 hodin,</w:t>
      </w:r>
    </w:p>
    <w:p>
      <w:pPr>
        <w:pStyle w:val="Zkladntext"/>
        <w:numPr>
          <w:ilvl w:val="0"/>
          <w:numId w:val="2"/>
        </w:numPr>
        <w:tabs>
          <w:tab w:val="clear" w:pos="708"/>
          <w:tab w:val="left" w:pos="700" w:leader="none"/>
          <w:tab w:val="left" w:pos="993" w:leader="none"/>
        </w:tabs>
        <w:ind w:hanging="284" w:left="426"/>
        <w:jc w:val="both"/>
        <w:rPr/>
      </w:pPr>
      <w:r>
        <w:rPr>
          <w:rStyle w:val="Standardnpsmoodstavce"/>
          <w:rFonts w:cs="Arial" w:ascii="Arial" w:hAnsi="Arial"/>
          <w:sz w:val="22"/>
          <w:szCs w:val="22"/>
        </w:rPr>
        <w:t>Veřejnosti přístupné sportovní a kulturní podniky, včetně tanečních zábav a diskoték, lze na území obce na venkovních prostranstvích provozovat pouze v době od 8,00 do 2,00 hodin</w:t>
      </w:r>
      <w:r>
        <w:rPr>
          <w:rStyle w:val="FootnoteReference"/>
          <w:rStyle w:val="FootnoteReference"/>
          <w:rFonts w:cs="Arial" w:ascii="Arial" w:hAnsi="Arial"/>
          <w:sz w:val="22"/>
          <w:szCs w:val="22"/>
        </w:rPr>
        <w:footnoteReference w:id="3"/>
      </w:r>
      <w:r>
        <w:rPr>
          <w:rStyle w:val="Standardnpsmoodstavce"/>
          <w:rFonts w:cs="Arial" w:ascii="Arial" w:hAnsi="Arial"/>
          <w:sz w:val="22"/>
          <w:szCs w:val="22"/>
        </w:rPr>
        <w:t>.</w:t>
      </w:r>
    </w:p>
    <w:p>
      <w:pPr>
        <w:pStyle w:val="Zkladntextodsazen3"/>
        <w:ind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Zkladntextodsazen3"/>
        <w:ind w:hanging="0"/>
        <w:jc w:val="center"/>
        <w:rPr>
          <w:rFonts w:ascii="Arial" w:hAnsi="Arial" w:cs="Arial"/>
          <w:b/>
          <w:bCs w:val="false"/>
          <w:sz w:val="22"/>
          <w:szCs w:val="22"/>
        </w:rPr>
      </w:pPr>
      <w:r>
        <w:rPr>
          <w:rFonts w:cs="Arial" w:ascii="Arial" w:hAnsi="Arial"/>
          <w:b/>
          <w:bCs w:val="false"/>
          <w:sz w:val="22"/>
          <w:szCs w:val="22"/>
        </w:rPr>
        <w:t>Čl. 2</w:t>
      </w:r>
    </w:p>
    <w:p>
      <w:pPr>
        <w:pStyle w:val="Zkladntextodsazen3"/>
        <w:ind w:hanging="0"/>
        <w:jc w:val="center"/>
        <w:rPr>
          <w:rFonts w:ascii="Arial" w:hAnsi="Arial" w:cs="Arial"/>
          <w:b/>
          <w:bCs w:val="false"/>
          <w:sz w:val="22"/>
          <w:szCs w:val="22"/>
        </w:rPr>
      </w:pPr>
      <w:r>
        <w:rPr>
          <w:rFonts w:cs="Arial" w:ascii="Arial" w:hAnsi="Arial"/>
          <w:b/>
          <w:bCs w:val="false"/>
          <w:sz w:val="22"/>
          <w:szCs w:val="22"/>
        </w:rPr>
        <w:t>Oznamovací povinnost</w:t>
      </w:r>
    </w:p>
    <w:p>
      <w:pPr>
        <w:pStyle w:val="Header"/>
        <w:tabs>
          <w:tab w:val="left" w:pos="708" w:leader="none"/>
          <w:tab w:val="center" w:pos="4536" w:leader="none"/>
          <w:tab w:val="right" w:pos="9072" w:leader="none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Zkladntextodsazen2"/>
        <w:ind w:firstLine="708" w:left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Pořadatel podniku uvedeného v odst. 1 je povinen oznámit nejméně 15 dnů před jeho konáním Obecnímu úřadu v Horních Ředicích:</w:t>
      </w:r>
    </w:p>
    <w:p>
      <w:pPr>
        <w:pStyle w:val="Zkladntextodsazen2"/>
        <w:ind w:firstLine="708" w:left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ln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jméno, příjmení, datum narození, adresu místa trvalého pobytu a adresu bydliště, je-li odlišná od místa trvalého pobytu pořadatele; je-li pořadatelem právnická osoba, název či obchodní firmu, sídlo a označení osoby, která za tuto právnickou osobu jedná,</w:t>
      </w:r>
    </w:p>
    <w:p>
      <w:pPr>
        <w:pStyle w:val="Normln"/>
        <w:tabs>
          <w:tab w:val="clear" w:pos="708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Zkladntex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označení druhu podniku (opakujících se podniků), dobu a místo konání včetně údaje    o jeho počátku a ukončení, </w:t>
      </w:r>
    </w:p>
    <w:p>
      <w:pPr>
        <w:pStyle w:val="Normln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předpokládaný počet účastníků tohoto podniku,</w:t>
      </w:r>
    </w:p>
    <w:p>
      <w:pPr>
        <w:pStyle w:val="Normln"/>
        <w:tabs>
          <w:tab w:val="clear" w:pos="708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ln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počet osob zajišťujících pořadatelskou službu a způsob jejich označení, </w:t>
      </w:r>
    </w:p>
    <w:p>
      <w:pPr>
        <w:pStyle w:val="Normln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ln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údaje o osobě pověřené pořadatelem podniku k osobní spolupráci s orgány veřejné moci, pokud pořadatel podniku tuto osobu určí,</w:t>
      </w:r>
    </w:p>
    <w:p>
      <w:pPr>
        <w:pStyle w:val="Normln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ln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údaje o osobách, které poskytly k užívání pozemek nebo stavbu, kde se má podnik konat,</w:t>
      </w:r>
    </w:p>
    <w:p>
      <w:pPr>
        <w:pStyle w:val="Normln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ln"/>
        <w:numPr>
          <w:ilvl w:val="0"/>
          <w:numId w:val="3"/>
        </w:numPr>
        <w:tabs>
          <w:tab w:val="clear" w:pos="708"/>
          <w:tab w:val="left" w:pos="360" w:leader="none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lhůtu, ve které zajistí úklid místa konání podniku, a způsob tohoto úklidu, jde-li o místa, která nejsou určena a zřízena pro pořádání uvedených podniků,</w:t>
      </w:r>
    </w:p>
    <w:p>
      <w:pPr>
        <w:pStyle w:val="Normln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ln"/>
        <w:numPr>
          <w:ilvl w:val="0"/>
          <w:numId w:val="3"/>
        </w:numPr>
        <w:jc w:val="both"/>
        <w:rPr/>
      </w:pPr>
      <w:r>
        <w:rPr>
          <w:rStyle w:val="Standardnpsmoodstavce"/>
          <w:rFonts w:cs="Arial" w:ascii="Arial" w:hAnsi="Arial"/>
          <w:sz w:val="22"/>
          <w:szCs w:val="22"/>
        </w:rPr>
        <w:t>způsob zajištění obecných povinností při nakládání s odpady vzniklými při pořádání akce</w:t>
      </w:r>
      <w:r>
        <w:rPr>
          <w:rStyle w:val="FootnoteReference"/>
          <w:rStyle w:val="FootnoteReference"/>
          <w:rFonts w:cs="Arial" w:ascii="Arial" w:hAnsi="Arial"/>
          <w:sz w:val="22"/>
          <w:szCs w:val="22"/>
        </w:rPr>
        <w:footnoteReference w:id="4"/>
      </w:r>
      <w:r>
        <w:rPr>
          <w:rStyle w:val="Standardnpsmoodstavce"/>
          <w:rFonts w:cs="Arial" w:ascii="Arial" w:hAnsi="Arial"/>
          <w:sz w:val="22"/>
          <w:szCs w:val="22"/>
        </w:rPr>
        <w:t>,</w:t>
      </w:r>
    </w:p>
    <w:p>
      <w:pPr>
        <w:pStyle w:val="Normln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ln"/>
        <w:numPr>
          <w:ilvl w:val="0"/>
          <w:numId w:val="3"/>
        </w:numPr>
        <w:jc w:val="both"/>
        <w:rPr/>
      </w:pPr>
      <w:r>
        <w:rPr>
          <w:rStyle w:val="Standardnpsmoodstavce"/>
          <w:rFonts w:cs="Arial" w:ascii="Arial" w:hAnsi="Arial"/>
          <w:sz w:val="22"/>
          <w:szCs w:val="22"/>
        </w:rPr>
        <w:t>způsob zajištění podmínek stanovených zvláštními právními předpisy v oblasti požární ochrany</w:t>
      </w:r>
      <w:r>
        <w:rPr>
          <w:rStyle w:val="FootnoteReference"/>
          <w:rStyle w:val="FootnoteReference"/>
          <w:rFonts w:cs="Arial" w:ascii="Arial" w:hAnsi="Arial"/>
          <w:sz w:val="22"/>
          <w:szCs w:val="22"/>
        </w:rPr>
        <w:footnoteReference w:id="5"/>
      </w:r>
      <w:r>
        <w:rPr>
          <w:rStyle w:val="Standardnpsmoodstavce"/>
          <w:rFonts w:cs="Arial" w:ascii="Arial" w:hAnsi="Arial"/>
          <w:sz w:val="22"/>
          <w:szCs w:val="22"/>
        </w:rPr>
        <w:t>.</w:t>
      </w:r>
    </w:p>
    <w:p>
      <w:pPr>
        <w:pStyle w:val="Normln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Zkladntext"/>
        <w:spacing w:before="0" w:after="0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 xml:space="preserve"> </w:t>
      </w:r>
    </w:p>
    <w:p>
      <w:pPr>
        <w:pStyle w:val="Zkladntext"/>
        <w:spacing w:before="0" w:after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Čl. 3</w:t>
      </w:r>
    </w:p>
    <w:p>
      <w:pPr>
        <w:pStyle w:val="Zkladntext"/>
        <w:spacing w:before="0" w:after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Zrušovací ustanovení</w:t>
      </w:r>
    </w:p>
    <w:p>
      <w:pPr>
        <w:pStyle w:val="Zkladntext"/>
        <w:spacing w:before="0" w:after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Seznamoslovan"/>
        <w:numPr>
          <w:ilvl w:val="0"/>
          <w:numId w:val="4"/>
        </w:numPr>
        <w:spacing w:before="0" w:after="12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Touto obecně závaznou vyhláškou se ruší obecně závazná vyhláška obce Horní Ředice č. 5/2016, o stanovení podmínek pro pořádání, průběh a ukončení veřejnosti přístupných sportovních a kulturních podniků, včetně tanečních zábav a diskoték v rozsahu nezbytném k zajištění veřejného pořádku, ze dne 19. prosince 2016.</w:t>
      </w:r>
    </w:p>
    <w:p>
      <w:pPr>
        <w:pStyle w:val="Seznamoslovan"/>
        <w:numPr>
          <w:ilvl w:val="0"/>
          <w:numId w:val="4"/>
        </w:numPr>
        <w:spacing w:before="0" w:after="12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Tato obecně závazná vyhláška nabývá účinnosti počátkem patnáctého dne následujícího po dni jejího vyhlášení.</w:t>
      </w:r>
    </w:p>
    <w:p>
      <w:pPr>
        <w:pStyle w:val="Seznamoslovan"/>
        <w:spacing w:before="0" w:after="12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Zkladntext"/>
        <w:tabs>
          <w:tab w:val="clear" w:pos="708"/>
          <w:tab w:val="left" w:pos="720" w:leader="none"/>
          <w:tab w:val="left" w:pos="6120" w:leader="none"/>
        </w:tabs>
        <w:spacing w:lineRule="auto" w:line="288" w:before="0" w:after="0"/>
        <w:rPr/>
      </w:pPr>
      <w:r>
        <w:rPr>
          <w:rStyle w:val="Standardnpsmoodstavce"/>
          <w:rFonts w:cs="Arial" w:ascii="Arial" w:hAnsi="Arial"/>
          <w:i/>
          <w:sz w:val="20"/>
        </w:rPr>
        <w:t>...................................</w:t>
        <w:tab/>
        <w:tab/>
        <w:t>..........................................</w:t>
      </w:r>
    </w:p>
    <w:p>
      <w:pPr>
        <w:pStyle w:val="Zkladntext"/>
        <w:tabs>
          <w:tab w:val="clear" w:pos="708"/>
          <w:tab w:val="left" w:pos="1080" w:leader="none"/>
          <w:tab w:val="left" w:pos="6660" w:leader="none"/>
        </w:tabs>
        <w:spacing w:lineRule="auto" w:line="288" w:before="0" w:after="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 </w:t>
      </w:r>
      <w:r>
        <w:rPr>
          <w:rFonts w:cs="Arial" w:ascii="Arial" w:hAnsi="Arial"/>
          <w:sz w:val="20"/>
        </w:rPr>
        <w:t xml:space="preserve">Ing. Petra Skácelová </w:t>
        <w:tab/>
        <w:t xml:space="preserve">  Ing. Jiří Kosel</w:t>
      </w:r>
    </w:p>
    <w:p>
      <w:pPr>
        <w:pStyle w:val="Zkladntext"/>
        <w:tabs>
          <w:tab w:val="clear" w:pos="708"/>
          <w:tab w:val="left" w:pos="1080" w:leader="none"/>
          <w:tab w:val="left" w:pos="7020" w:leader="none"/>
        </w:tabs>
        <w:spacing w:lineRule="auto" w:line="288" w:before="0" w:after="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    </w:t>
      </w:r>
      <w:r>
        <w:rPr>
          <w:rFonts w:cs="Arial" w:ascii="Arial" w:hAnsi="Arial"/>
          <w:sz w:val="20"/>
        </w:rPr>
        <w:t>místostarostka</w:t>
        <w:tab/>
        <w:t>  starosta</w:t>
      </w:r>
    </w:p>
    <w:p>
      <w:pPr>
        <w:pStyle w:val="Normln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sectPr>
      <w:footnotePr>
        <w:numFmt w:val="decimal"/>
      </w:footnote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swiss"/>
    <w:pitch w:val="variable"/>
  </w:font>
  <w:font w:name="Arial">
    <w:charset w:val="ee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Textpoznpodarou"/>
        <w:rPr/>
      </w:pPr>
      <w:r>
        <w:rPr>
          <w:rStyle w:val="Znakypropoznmkupodarou"/>
        </w:rPr>
        <w:footnoteRef/>
      </w:r>
      <w:r>
        <w:rPr>
          <w:rStyle w:val="Standardnpsmoodstavce"/>
          <w:sz w:val="18"/>
          <w:szCs w:val="18"/>
        </w:rPr>
        <w:t xml:space="preserve"> </w:t>
      </w:r>
      <w:r>
        <w:rPr>
          <w:rStyle w:val="Standardnpsmoodstavce"/>
          <w:rFonts w:cs="Arial" w:ascii="Arial" w:hAnsi="Arial"/>
          <w:sz w:val="18"/>
          <w:szCs w:val="18"/>
        </w:rPr>
        <w:t>např. § 2 písm. l) zákona č. 256/2013 Sb., o katastru nemovitostí, ve znění pozdějších předpisů</w:t>
      </w:r>
    </w:p>
  </w:footnote>
  <w:footnote w:id="3">
    <w:p>
      <w:pPr>
        <w:pStyle w:val="Textpoznpodarou"/>
        <w:rPr/>
      </w:pPr>
      <w:r>
        <w:rPr>
          <w:rStyle w:val="Znakypropoznmkupodarou"/>
        </w:rPr>
        <w:footnoteRef/>
      </w:r>
      <w:r>
        <w:rPr>
          <w:rStyle w:val="Standardnpsmoodstavce"/>
          <w:rFonts w:cs="Arial" w:ascii="Arial" w:hAnsi="Arial"/>
          <w:sz w:val="18"/>
          <w:szCs w:val="18"/>
        </w:rPr>
        <w:t xml:space="preserve"> </w:t>
      </w:r>
      <w:r>
        <w:rPr>
          <w:rStyle w:val="Standardnpsmoodstavce"/>
          <w:rFonts w:cs="Arial" w:ascii="Arial" w:hAnsi="Arial"/>
          <w:sz w:val="18"/>
          <w:szCs w:val="18"/>
        </w:rPr>
        <w:t>tím není dotčena povinnost pořadatele a účastníků takové akce ve vztahu k ochraně nočního klidu</w:t>
      </w:r>
    </w:p>
  </w:footnote>
  <w:footnote w:id="4">
    <w:p>
      <w:pPr>
        <w:pStyle w:val="Textpoznpodarou"/>
        <w:rPr/>
      </w:pPr>
      <w:r>
        <w:rPr>
          <w:rStyle w:val="Znakypropoznmkupodarou"/>
        </w:rPr>
        <w:footnoteRef/>
      </w:r>
      <w:r>
        <w:rPr/>
        <w:t xml:space="preserve"> </w:t>
      </w:r>
      <w:r>
        <w:rPr>
          <w:rStyle w:val="Standardnpsmoodstavce"/>
          <w:rFonts w:cs="Arial" w:ascii="Arial" w:hAnsi="Arial"/>
          <w:sz w:val="18"/>
          <w:szCs w:val="18"/>
        </w:rPr>
        <w:t>§ 13 zákona č. 541/2020 Sb., o odpadech, ve znění pozdějších předpisů.</w:t>
      </w:r>
    </w:p>
  </w:footnote>
  <w:footnote w:id="5">
    <w:p>
      <w:pPr>
        <w:pStyle w:val="Textpoznpodarou"/>
        <w:rPr/>
      </w:pPr>
      <w:r>
        <w:rPr>
          <w:rStyle w:val="Znakypropoznmkupodarou"/>
        </w:rPr>
        <w:footnoteRef/>
      </w:r>
      <w:r>
        <w:rPr/>
        <w:t xml:space="preserve"> </w:t>
      </w:r>
      <w:r>
        <w:rPr>
          <w:rStyle w:val="Standardnpsmoodstavce"/>
          <w:rFonts w:cs="Arial" w:ascii="Arial" w:hAnsi="Arial"/>
          <w:sz w:val="18"/>
          <w:szCs w:val="18"/>
        </w:rPr>
        <w:t>zákon č. 133/1985 Sb., o požární ochraně, ve znění pozdějších předpisů; obecně závazná vyhláška obce vydaná na základě § 29 odst. 1 písm. o) bod 2. zákona o požární ochraně; nařízení kraje vydané na základě § 27 odst. 2 písm. b) bod 5. zákona o požární ochraně.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(%1)"/>
      <w:lvlJc w:val="left"/>
      <w:pPr>
        <w:tabs>
          <w:tab w:val="num" w:pos="0"/>
        </w:tabs>
        <w:ind w:left="0" w:firstLine="34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2220" w:hanging="114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</w:num>
  <w:num w:numId="6">
    <w:abstractNumId w:val="3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>
      <w:pPr>
        <w:widowControl/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  <w:jc w:val="lef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cs-CZ" w:eastAsia="cs-CZ" w:bidi="ar-SA"/>
    </w:rPr>
  </w:style>
  <w:style w:type="paragraph" w:styleId="Heading2">
    <w:name w:val="Heading 2"/>
    <w:basedOn w:val="Normln"/>
    <w:next w:val="Normln"/>
    <w:qFormat/>
    <w:pPr>
      <w:keepNext w:val="true"/>
      <w:numPr>
        <w:ilvl w:val="1"/>
        <w:numId w:val="1"/>
      </w:numPr>
      <w:suppressAutoHyphens w:val="true"/>
      <w:jc w:val="both"/>
      <w:outlineLvl w:val="1"/>
    </w:pPr>
    <w:rPr>
      <w:szCs w:val="20"/>
      <w:u w:val="single"/>
    </w:rPr>
  </w:style>
  <w:style w:type="paragraph" w:styleId="Heading5">
    <w:name w:val="Heading 5"/>
    <w:basedOn w:val="Normln"/>
    <w:next w:val="Normln"/>
    <w:qFormat/>
    <w:pPr>
      <w:numPr>
        <w:ilvl w:val="4"/>
        <w:numId w:val="1"/>
      </w:numPr>
      <w:suppressAutoHyphens w:val="true"/>
      <w:spacing w:before="240" w:after="60"/>
      <w:outlineLvl w:val="4"/>
    </w:pPr>
    <w:rPr>
      <w:b/>
      <w:bCs/>
      <w:i/>
      <w:iCs/>
      <w:sz w:val="26"/>
      <w:szCs w:val="26"/>
    </w:rPr>
  </w:style>
  <w:style w:type="character" w:styleId="Standardnpsmoodstavce">
    <w:name w:val="Standardní písmo odstavce"/>
    <w:qFormat/>
    <w:rPr/>
  </w:style>
  <w:style w:type="character" w:styleId="FootnoteReference">
    <w:name w:val="Footnote Reference"/>
    <w:rPr>
      <w:vertAlign w:val="superscript"/>
    </w:rPr>
  </w:style>
  <w:style w:type="character" w:styleId="Odkaznakoment">
    <w:name w:val="Odkaz na komentář"/>
    <w:qFormat/>
    <w:rPr>
      <w:sz w:val="16"/>
      <w:szCs w:val="16"/>
    </w:rPr>
  </w:style>
  <w:style w:type="character" w:styleId="TextpoznpodarouChar">
    <w:name w:val="Text pozn. pod čarou Char"/>
    <w:basedOn w:val="Standardnpsmoodstavce"/>
    <w:qFormat/>
    <w:rPr/>
  </w:style>
  <w:style w:type="character" w:styleId="WWCharLFO4LVL1">
    <w:name w:val="WW_CharLFO4LVL1"/>
    <w:qFormat/>
    <w:rPr>
      <w:b w:val="false"/>
      <w:u w:val="none"/>
    </w:rPr>
  </w:style>
  <w:style w:type="character" w:styleId="Ukotvenpoznmkypodarou">
    <w:name w:val="Ukotvení poznámky pod čarou"/>
    <w:qFormat/>
    <w:rPr>
      <w:vertAlign w:val="superscript"/>
    </w:rPr>
  </w:style>
  <w:style w:type="character" w:styleId="Znakypropoznmkupodarou">
    <w:name w:val="Znaky pro poznámku pod čarou"/>
    <w:qFormat/>
    <w:rPr/>
  </w:style>
  <w:style w:type="character" w:styleId="EndnoteReference">
    <w:name w:val="Endnote Reference"/>
    <w:rPr>
      <w:vertAlign w:val="superscript"/>
    </w:rPr>
  </w:style>
  <w:style w:type="character" w:styleId="Znakyprovysvtlivky">
    <w:name w:val="Znaky pro vysvětlivky"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S Gothic" w:cs="Tahoma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Normln">
    <w:name w:val="Normální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val="cs-CZ" w:eastAsia="cs-CZ" w:bidi="ar-SA"/>
    </w:rPr>
  </w:style>
  <w:style w:type="paragraph" w:styleId="Zkladntextodsazen">
    <w:name w:val="Základní text odsazený"/>
    <w:basedOn w:val="Normln"/>
    <w:qFormat/>
    <w:pPr>
      <w:tabs>
        <w:tab w:val="clear" w:pos="708"/>
      </w:tabs>
      <w:suppressAutoHyphens w:val="true"/>
      <w:ind w:firstLine="357" w:left="708"/>
      <w:jc w:val="both"/>
    </w:pPr>
    <w:rPr>
      <w:szCs w:val="20"/>
    </w:rPr>
  </w:style>
  <w:style w:type="paragraph" w:styleId="Zkladntextodsazen2">
    <w:name w:val="Základní text odsazený 2"/>
    <w:basedOn w:val="Normln"/>
    <w:qFormat/>
    <w:pPr>
      <w:tabs>
        <w:tab w:val="clear" w:pos="708"/>
      </w:tabs>
      <w:suppressAutoHyphens w:val="true"/>
      <w:ind w:firstLine="360" w:left="708"/>
      <w:jc w:val="both"/>
    </w:pPr>
    <w:rPr>
      <w:bCs/>
      <w:szCs w:val="20"/>
    </w:rPr>
  </w:style>
  <w:style w:type="paragraph" w:styleId="Zhlavazpat">
    <w:name w:val="Záhlaví a zápatí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ln"/>
    <w:pPr>
      <w:tabs>
        <w:tab w:val="clear" w:pos="708"/>
        <w:tab w:val="center" w:pos="4536" w:leader="none"/>
        <w:tab w:val="right" w:pos="9072" w:leader="none"/>
      </w:tabs>
      <w:suppressAutoHyphens w:val="true"/>
    </w:pPr>
    <w:rPr>
      <w:szCs w:val="20"/>
    </w:rPr>
  </w:style>
  <w:style w:type="paragraph" w:styleId="Zkladntext">
    <w:name w:val="Základní text"/>
    <w:basedOn w:val="Normln"/>
    <w:qFormat/>
    <w:pPr>
      <w:suppressAutoHyphens w:val="true"/>
      <w:spacing w:before="0" w:after="120"/>
    </w:pPr>
    <w:rPr>
      <w:szCs w:val="20"/>
    </w:rPr>
  </w:style>
  <w:style w:type="paragraph" w:styleId="Textpoznpodarou">
    <w:name w:val="Text pozn. pod čarou"/>
    <w:basedOn w:val="Normln"/>
    <w:qFormat/>
    <w:pPr>
      <w:suppressAutoHyphens w:val="true"/>
    </w:pPr>
    <w:rPr>
      <w:sz w:val="20"/>
      <w:szCs w:val="20"/>
    </w:rPr>
  </w:style>
  <w:style w:type="paragraph" w:styleId="NormlnIMP">
    <w:name w:val="Normální_IMP"/>
    <w:basedOn w:val="Normln"/>
    <w:qFormat/>
    <w:pPr>
      <w:suppressAutoHyphens w:val="true"/>
      <w:overflowPunct w:val="false"/>
      <w:autoSpaceDE w:val="false"/>
      <w:spacing w:lineRule="auto" w:line="228"/>
      <w:jc w:val="both"/>
      <w:textAlignment w:val="baseline"/>
    </w:pPr>
    <w:rPr>
      <w:szCs w:val="20"/>
    </w:rPr>
  </w:style>
  <w:style w:type="paragraph" w:styleId="Textkomente">
    <w:name w:val="Text komentáře"/>
    <w:basedOn w:val="Normln"/>
    <w:qFormat/>
    <w:pPr>
      <w:suppressAutoHyphens w:val="true"/>
    </w:pPr>
    <w:rPr>
      <w:sz w:val="20"/>
      <w:szCs w:val="20"/>
    </w:rPr>
  </w:style>
  <w:style w:type="paragraph" w:styleId="Zkladntextodsazen3">
    <w:name w:val="Základní text odsazený 3"/>
    <w:basedOn w:val="Normln"/>
    <w:qFormat/>
    <w:pPr>
      <w:widowControl w:val="false"/>
      <w:tabs>
        <w:tab w:val="clear" w:pos="708"/>
        <w:tab w:val="left" w:pos="540" w:leader="none"/>
      </w:tabs>
      <w:suppressAutoHyphens w:val="true"/>
      <w:ind w:hanging="540" w:left="540"/>
      <w:jc w:val="both"/>
    </w:pPr>
    <w:rPr>
      <w:bCs/>
    </w:rPr>
  </w:style>
  <w:style w:type="paragraph" w:styleId="Textbubliny">
    <w:name w:val="Text bubliny"/>
    <w:basedOn w:val="Normln"/>
    <w:qFormat/>
    <w:pPr>
      <w:suppressAutoHyphens w:val="true"/>
    </w:pPr>
    <w:rPr>
      <w:rFonts w:ascii="Tahoma" w:hAnsi="Tahoma" w:cs="Tahoma"/>
      <w:sz w:val="16"/>
      <w:szCs w:val="16"/>
    </w:rPr>
  </w:style>
  <w:style w:type="paragraph" w:styleId="Zkladntext2">
    <w:name w:val="Základní text 2"/>
    <w:basedOn w:val="Normln"/>
    <w:qFormat/>
    <w:pPr>
      <w:suppressAutoHyphens w:val="true"/>
      <w:spacing w:lineRule="auto" w:line="480" w:before="0" w:after="120"/>
    </w:pPr>
    <w:rPr/>
  </w:style>
  <w:style w:type="paragraph" w:styleId="Hlava">
    <w:name w:val="Hlava"/>
    <w:basedOn w:val="Normln"/>
    <w:qFormat/>
    <w:pPr>
      <w:suppressAutoHyphens w:val="true"/>
      <w:autoSpaceDE w:val="false"/>
      <w:spacing w:before="240" w:after="0"/>
      <w:jc w:val="center"/>
    </w:pPr>
    <w:rPr/>
  </w:style>
  <w:style w:type="paragraph" w:styleId="Seznamoslovan">
    <w:name w:val="Seznam očíslovaný"/>
    <w:basedOn w:val="Zkladntext"/>
    <w:qFormat/>
    <w:pPr>
      <w:widowControl w:val="false"/>
      <w:tabs>
        <w:tab w:val="clear" w:pos="708"/>
      </w:tabs>
      <w:suppressAutoHyphens w:val="true"/>
      <w:spacing w:before="0" w:after="113"/>
      <w:ind w:hanging="424" w:left="425"/>
      <w:jc w:val="both"/>
    </w:pPr>
    <w:rPr/>
  </w:style>
  <w:style w:type="paragraph" w:styleId="Textparagrafu">
    <w:name w:val="Text paragrafu"/>
    <w:basedOn w:val="Normln"/>
    <w:qFormat/>
    <w:pPr>
      <w:suppressAutoHyphens w:val="true"/>
      <w:autoSpaceDE w:val="false"/>
      <w:spacing w:before="240" w:after="0"/>
      <w:ind w:firstLine="425"/>
      <w:jc w:val="both"/>
    </w:pPr>
    <w:rPr/>
  </w:style>
  <w:style w:type="paragraph" w:styleId="Odstavec1">
    <w:name w:val="odstavec 1"/>
    <w:basedOn w:val="Normln"/>
    <w:qFormat/>
    <w:pPr>
      <w:suppressAutoHyphens w:val="true"/>
      <w:spacing w:before="120" w:after="0"/>
      <w:ind w:firstLine="567"/>
      <w:jc w:val="both"/>
    </w:pPr>
    <w:rPr/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LibreOffice/7.6.5.2$Windows_X86_64 LibreOffice_project/38d5f62f85355c192ef5f1dd47c5c0c0c6d6598b</Application>
  <AppVersion>15.0000</AppVersion>
  <Pages>2</Pages>
  <Words>503</Words>
  <Characters>2883</Characters>
  <CharactersWithSpaces>3377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2025-02-13T12:21:00Z</dcterms:created>
  <dc:creator>DA210036</dc:creator>
  <dc:description/>
  <dc:language>cs-CZ</dc:language>
  <cp:lastModifiedBy/>
  <cp:lastPrinted>2012-04-27T05:54:00Z</cp:lastPrinted>
  <dcterms:modified xsi:type="dcterms:W3CDTF">2026-09-30T14:13:37Z</dcterms:modified>
  <cp:revision>3</cp:revision>
  <dc:subject/>
  <dc:title>Vzor obecně závazné vyhlášky obce o stanovení systému shromažďování, sběru, přepravy, třídění, využívání a odstraňování komuná</dc:title>
</cp:coreProperties>
</file>