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A9D83" w14:textId="77777777" w:rsidR="000B0EF3" w:rsidRPr="000B0EF3" w:rsidRDefault="000B0EF3" w:rsidP="000B0EF3">
      <w:pPr>
        <w:tabs>
          <w:tab w:val="left" w:pos="3544"/>
        </w:tabs>
        <w:spacing w:after="12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0B0EF3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Město Husinec</w:t>
      </w:r>
    </w:p>
    <w:p w14:paraId="75896721" w14:textId="77777777" w:rsidR="000B0EF3" w:rsidRPr="000B0EF3" w:rsidRDefault="000B0EF3" w:rsidP="000B0EF3">
      <w:pPr>
        <w:spacing w:after="12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0B0EF3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Zastupitelstvo města Husinec</w:t>
      </w:r>
    </w:p>
    <w:p w14:paraId="33465433" w14:textId="77777777" w:rsidR="000B0EF3" w:rsidRPr="000B0EF3" w:rsidRDefault="000B0EF3" w:rsidP="000B0EF3">
      <w:pPr>
        <w:spacing w:after="120" w:line="276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0B0EF3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Obecně závazná vyhláška města č. 7/2025,</w:t>
      </w:r>
    </w:p>
    <w:p w14:paraId="2C190211" w14:textId="77777777" w:rsidR="000B0EF3" w:rsidRPr="000B0EF3" w:rsidRDefault="000B0EF3" w:rsidP="000B0EF3">
      <w:pPr>
        <w:autoSpaceDE w:val="0"/>
        <w:autoSpaceDN w:val="0"/>
        <w:spacing w:after="0" w:line="312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0B0EF3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o zákazu konzumace alkoholických nápojů na veřejně přístupném místě </w:t>
      </w:r>
    </w:p>
    <w:p w14:paraId="56712256" w14:textId="77777777" w:rsidR="000B0EF3" w:rsidRPr="000B0EF3" w:rsidRDefault="000B0EF3" w:rsidP="000B0EF3">
      <w:pPr>
        <w:autoSpaceDE w:val="0"/>
        <w:autoSpaceDN w:val="0"/>
        <w:spacing w:after="0" w:line="312" w:lineRule="auto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D3F271E" w14:textId="77777777" w:rsidR="000B0EF3" w:rsidRPr="000B0EF3" w:rsidRDefault="000B0EF3" w:rsidP="000B0EF3">
      <w:pPr>
        <w:spacing w:after="0" w:line="312" w:lineRule="auto"/>
        <w:ind w:firstLine="54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B0EF3">
        <w:rPr>
          <w:rFonts w:ascii="Arial" w:eastAsia="Times New Roman" w:hAnsi="Arial" w:cs="Arial"/>
          <w:kern w:val="0"/>
          <w:lang w:eastAsia="cs-CZ"/>
          <w14:ligatures w14:val="none"/>
        </w:rPr>
        <w:t>Zastupitelstvo města Husinec se na svém zasedání dne 15.5.2025 usnesením č. 14/25 usneslo vydat na základě § 17 odst. 2 písm. a) zákona č. 65/2017 Sb., o ochraně zdraví před škodlivými účinky návykových látek, ve znění pozdějších předpisů, a v souladu s § 10 písm. d) a § 84 odst. 2 písm. h) zákona č. 128/2000 Sb., o obcích (obecní zřízení), ve znění pozdějších předpisů, tuto obecně závaznou vyhlášku:</w:t>
      </w:r>
    </w:p>
    <w:p w14:paraId="0ACC76A1" w14:textId="77777777" w:rsidR="000B0EF3" w:rsidRPr="000B0EF3" w:rsidRDefault="000B0EF3" w:rsidP="000B0EF3">
      <w:pPr>
        <w:spacing w:after="0" w:line="312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0EFB1F6" w14:textId="77777777" w:rsidR="000B0EF3" w:rsidRPr="000B0EF3" w:rsidRDefault="000B0EF3" w:rsidP="000B0EF3">
      <w:pPr>
        <w:spacing w:after="0" w:line="312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0B0EF3">
        <w:rPr>
          <w:rFonts w:ascii="Arial" w:eastAsia="Times New Roman" w:hAnsi="Arial" w:cs="Arial"/>
          <w:b/>
          <w:kern w:val="0"/>
          <w:lang w:eastAsia="cs-CZ"/>
          <w14:ligatures w14:val="none"/>
        </w:rPr>
        <w:t>Čl. 1</w:t>
      </w:r>
    </w:p>
    <w:p w14:paraId="668B2266" w14:textId="77777777" w:rsidR="000B0EF3" w:rsidRPr="000B0EF3" w:rsidRDefault="000B0EF3" w:rsidP="000B0EF3">
      <w:pPr>
        <w:spacing w:after="0" w:line="312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0B0EF3">
        <w:rPr>
          <w:rFonts w:ascii="Arial" w:eastAsia="Times New Roman" w:hAnsi="Arial" w:cs="Arial"/>
          <w:b/>
          <w:kern w:val="0"/>
          <w:lang w:eastAsia="cs-CZ"/>
          <w14:ligatures w14:val="none"/>
        </w:rPr>
        <w:t>Zákaz konzumace alkoholických nápojů</w:t>
      </w:r>
    </w:p>
    <w:p w14:paraId="02B3A2D0" w14:textId="77777777" w:rsidR="000B0EF3" w:rsidRPr="000B0EF3" w:rsidRDefault="000B0EF3" w:rsidP="000B0EF3">
      <w:pPr>
        <w:spacing w:after="0" w:line="312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B0EF3">
        <w:rPr>
          <w:rFonts w:ascii="Arial" w:eastAsia="Times New Roman" w:hAnsi="Arial" w:cs="Arial"/>
          <w:kern w:val="0"/>
          <w:lang w:eastAsia="cs-CZ"/>
          <w14:ligatures w14:val="none"/>
        </w:rPr>
        <w:t>Zakazuje se konzumace alkoholických nápojů</w:t>
      </w:r>
      <w:r w:rsidRPr="000B0EF3">
        <w:rPr>
          <w:rFonts w:ascii="Arial" w:eastAsiaTheme="majorEastAsia" w:hAnsi="Arial" w:cs="Arial"/>
          <w:kern w:val="0"/>
          <w:vertAlign w:val="superscript"/>
          <w:lang w:eastAsia="cs-CZ"/>
          <w14:ligatures w14:val="none"/>
        </w:rPr>
        <w:footnoteReference w:id="1"/>
      </w:r>
      <w:r w:rsidRPr="000B0EF3">
        <w:rPr>
          <w:rFonts w:ascii="Arial" w:eastAsia="Times New Roman" w:hAnsi="Arial" w:cs="Arial"/>
          <w:kern w:val="0"/>
          <w:lang w:eastAsia="cs-CZ"/>
          <w14:ligatures w14:val="none"/>
        </w:rPr>
        <w:t>) na těchto veřejně přístupných místech:</w:t>
      </w:r>
    </w:p>
    <w:p w14:paraId="4079AD6D" w14:textId="77777777" w:rsidR="000B0EF3" w:rsidRPr="000B0EF3" w:rsidRDefault="000B0EF3" w:rsidP="000B0EF3">
      <w:pPr>
        <w:spacing w:after="0" w:line="312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6FEFA5B" w14:textId="77777777" w:rsidR="000B0EF3" w:rsidRPr="000B0EF3" w:rsidRDefault="000B0EF3" w:rsidP="000B0EF3">
      <w:pPr>
        <w:numPr>
          <w:ilvl w:val="0"/>
          <w:numId w:val="1"/>
        </w:numPr>
        <w:spacing w:after="0" w:line="312" w:lineRule="auto"/>
        <w:jc w:val="both"/>
        <w:rPr>
          <w:rFonts w:ascii="Arial" w:eastAsia="Times New Roman" w:hAnsi="Arial" w:cs="Arial"/>
          <w:i/>
          <w:kern w:val="0"/>
          <w:lang w:eastAsia="cs-CZ"/>
          <w14:ligatures w14:val="none"/>
        </w:rPr>
      </w:pPr>
      <w:r w:rsidRPr="000B0EF3">
        <w:rPr>
          <w:rFonts w:ascii="Arial" w:eastAsia="Times New Roman" w:hAnsi="Arial" w:cs="Arial"/>
          <w:i/>
          <w:kern w:val="0"/>
          <w:lang w:eastAsia="cs-CZ"/>
          <w14:ligatures w14:val="none"/>
        </w:rPr>
        <w:t>veřejné prostranství v památkové zóně Husinec (ustanovena NPÚ dne 25.11.2003)</w:t>
      </w:r>
    </w:p>
    <w:p w14:paraId="4ED731AD" w14:textId="77777777" w:rsidR="000B0EF3" w:rsidRPr="000B0EF3" w:rsidRDefault="000B0EF3" w:rsidP="000B0EF3">
      <w:pPr>
        <w:numPr>
          <w:ilvl w:val="0"/>
          <w:numId w:val="1"/>
        </w:numPr>
        <w:spacing w:after="0" w:line="312" w:lineRule="auto"/>
        <w:jc w:val="both"/>
        <w:rPr>
          <w:rFonts w:ascii="Arial" w:eastAsia="Times New Roman" w:hAnsi="Arial" w:cs="Arial"/>
          <w:i/>
          <w:kern w:val="0"/>
          <w:lang w:eastAsia="cs-CZ"/>
          <w14:ligatures w14:val="none"/>
        </w:rPr>
      </w:pPr>
      <w:r w:rsidRPr="000B0EF3">
        <w:rPr>
          <w:rFonts w:ascii="Arial" w:eastAsia="Times New Roman" w:hAnsi="Arial" w:cs="Arial"/>
          <w:i/>
          <w:kern w:val="0"/>
          <w:lang w:eastAsia="cs-CZ"/>
          <w14:ligatures w14:val="none"/>
        </w:rPr>
        <w:t>Prokopovo náměstí</w:t>
      </w:r>
    </w:p>
    <w:p w14:paraId="309991AA" w14:textId="77777777" w:rsidR="000B0EF3" w:rsidRPr="000B0EF3" w:rsidRDefault="000B0EF3" w:rsidP="000B0EF3">
      <w:pPr>
        <w:numPr>
          <w:ilvl w:val="0"/>
          <w:numId w:val="1"/>
        </w:numPr>
        <w:spacing w:after="0" w:line="312" w:lineRule="auto"/>
        <w:jc w:val="both"/>
        <w:rPr>
          <w:rFonts w:ascii="Arial" w:eastAsia="Times New Roman" w:hAnsi="Arial" w:cs="Arial"/>
          <w:i/>
          <w:kern w:val="0"/>
          <w:lang w:eastAsia="cs-CZ"/>
          <w14:ligatures w14:val="none"/>
        </w:rPr>
      </w:pPr>
      <w:r w:rsidRPr="000B0EF3">
        <w:rPr>
          <w:rFonts w:ascii="Arial" w:eastAsia="Times New Roman" w:hAnsi="Arial" w:cs="Arial"/>
          <w:i/>
          <w:kern w:val="0"/>
          <w:lang w:eastAsia="cs-CZ"/>
          <w14:ligatures w14:val="none"/>
        </w:rPr>
        <w:t>ulice P. Chelčického, Komenského, Jeronýmova, Žižkova, Husova, Kostnická, Poděbradova, Mikulášova, Slunečná a Luční</w:t>
      </w:r>
    </w:p>
    <w:p w14:paraId="0E75FC1B" w14:textId="77777777" w:rsidR="000B0EF3" w:rsidRPr="000B0EF3" w:rsidRDefault="000B0EF3" w:rsidP="000B0EF3">
      <w:pPr>
        <w:numPr>
          <w:ilvl w:val="0"/>
          <w:numId w:val="1"/>
        </w:numPr>
        <w:spacing w:after="0" w:line="312" w:lineRule="auto"/>
        <w:jc w:val="both"/>
        <w:rPr>
          <w:rFonts w:ascii="Arial" w:eastAsia="Times New Roman" w:hAnsi="Arial" w:cs="Arial"/>
          <w:i/>
          <w:kern w:val="0"/>
          <w:lang w:eastAsia="cs-CZ"/>
          <w14:ligatures w14:val="none"/>
        </w:rPr>
      </w:pPr>
      <w:r w:rsidRPr="000B0EF3">
        <w:rPr>
          <w:rFonts w:ascii="Arial" w:eastAsia="Times New Roman" w:hAnsi="Arial" w:cs="Arial"/>
          <w:i/>
          <w:kern w:val="0"/>
          <w:lang w:eastAsia="cs-CZ"/>
          <w14:ligatures w14:val="none"/>
        </w:rPr>
        <w:t>areál školy a mateřské školy, včetně přilehlého chodníku a zdí oplocení školy</w:t>
      </w:r>
    </w:p>
    <w:p w14:paraId="5F554703" w14:textId="77777777" w:rsidR="000B0EF3" w:rsidRPr="000B0EF3" w:rsidRDefault="000B0EF3" w:rsidP="000B0EF3">
      <w:pPr>
        <w:numPr>
          <w:ilvl w:val="0"/>
          <w:numId w:val="1"/>
        </w:numPr>
        <w:spacing w:after="0" w:line="312" w:lineRule="auto"/>
        <w:jc w:val="both"/>
        <w:rPr>
          <w:rFonts w:ascii="Arial" w:eastAsia="Times New Roman" w:hAnsi="Arial" w:cs="Arial"/>
          <w:i/>
          <w:kern w:val="0"/>
          <w:lang w:eastAsia="cs-CZ"/>
          <w14:ligatures w14:val="none"/>
        </w:rPr>
      </w:pPr>
      <w:r w:rsidRPr="000B0EF3">
        <w:rPr>
          <w:rFonts w:ascii="Arial" w:eastAsia="Times New Roman" w:hAnsi="Arial" w:cs="Arial"/>
          <w:i/>
          <w:kern w:val="0"/>
          <w:lang w:eastAsia="cs-CZ"/>
          <w14:ligatures w14:val="none"/>
        </w:rPr>
        <w:t xml:space="preserve">dětská hřiště a </w:t>
      </w:r>
      <w:proofErr w:type="spellStart"/>
      <w:r w:rsidRPr="000B0EF3">
        <w:rPr>
          <w:rFonts w:ascii="Arial" w:eastAsia="Times New Roman" w:hAnsi="Arial" w:cs="Arial"/>
          <w:i/>
          <w:kern w:val="0"/>
          <w:lang w:eastAsia="cs-CZ"/>
          <w14:ligatures w14:val="none"/>
        </w:rPr>
        <w:t>workoutová</w:t>
      </w:r>
      <w:proofErr w:type="spellEnd"/>
      <w:r w:rsidRPr="000B0EF3">
        <w:rPr>
          <w:rFonts w:ascii="Arial" w:eastAsia="Times New Roman" w:hAnsi="Arial" w:cs="Arial"/>
          <w:i/>
          <w:kern w:val="0"/>
          <w:lang w:eastAsia="cs-CZ"/>
          <w14:ligatures w14:val="none"/>
        </w:rPr>
        <w:t xml:space="preserve"> hřiště</w:t>
      </w:r>
    </w:p>
    <w:p w14:paraId="65922890" w14:textId="77777777" w:rsidR="000B0EF3" w:rsidRPr="000B0EF3" w:rsidRDefault="000B0EF3" w:rsidP="000B0EF3">
      <w:pPr>
        <w:numPr>
          <w:ilvl w:val="0"/>
          <w:numId w:val="1"/>
        </w:numPr>
        <w:spacing w:after="0" w:line="312" w:lineRule="auto"/>
        <w:jc w:val="both"/>
        <w:rPr>
          <w:rFonts w:ascii="Arial" w:eastAsia="Times New Roman" w:hAnsi="Arial" w:cs="Arial"/>
          <w:i/>
          <w:kern w:val="0"/>
          <w:lang w:eastAsia="cs-CZ"/>
          <w14:ligatures w14:val="none"/>
        </w:rPr>
      </w:pPr>
      <w:r w:rsidRPr="000B0EF3">
        <w:rPr>
          <w:rFonts w:ascii="Arial" w:eastAsia="Times New Roman" w:hAnsi="Arial" w:cs="Arial"/>
          <w:i/>
          <w:kern w:val="0"/>
          <w:lang w:eastAsia="cs-CZ"/>
          <w14:ligatures w14:val="none"/>
        </w:rPr>
        <w:t>autobusové nádraží a zastávky</w:t>
      </w:r>
    </w:p>
    <w:p w14:paraId="332AFA6C" w14:textId="77777777" w:rsidR="000B0EF3" w:rsidRPr="000B0EF3" w:rsidRDefault="000B0EF3" w:rsidP="000B0EF3">
      <w:pPr>
        <w:tabs>
          <w:tab w:val="left" w:pos="540"/>
        </w:tabs>
        <w:spacing w:after="0" w:line="312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12D5E079" w14:textId="77777777" w:rsidR="000B0EF3" w:rsidRPr="000B0EF3" w:rsidRDefault="000B0EF3" w:rsidP="000B0EF3">
      <w:pPr>
        <w:keepNext/>
        <w:spacing w:after="120" w:line="276" w:lineRule="auto"/>
        <w:jc w:val="center"/>
        <w:rPr>
          <w:rFonts w:ascii="Arial" w:hAnsi="Arial" w:cs="Arial"/>
          <w:b/>
          <w:kern w:val="0"/>
          <w14:ligatures w14:val="none"/>
        </w:rPr>
      </w:pPr>
      <w:r w:rsidRPr="000B0EF3">
        <w:rPr>
          <w:rFonts w:ascii="Arial" w:hAnsi="Arial" w:cs="Arial"/>
          <w:b/>
          <w:kern w:val="0"/>
          <w14:ligatures w14:val="none"/>
        </w:rPr>
        <w:t>Čl. 2</w:t>
      </w:r>
    </w:p>
    <w:p w14:paraId="32113044" w14:textId="77777777" w:rsidR="000B0EF3" w:rsidRPr="000B0EF3" w:rsidRDefault="000B0EF3" w:rsidP="000B0EF3">
      <w:pPr>
        <w:keepNext/>
        <w:spacing w:after="120" w:line="276" w:lineRule="auto"/>
        <w:jc w:val="center"/>
        <w:rPr>
          <w:rFonts w:ascii="Arial" w:hAnsi="Arial" w:cs="Arial"/>
          <w:b/>
          <w:kern w:val="0"/>
          <w14:ligatures w14:val="none"/>
        </w:rPr>
      </w:pPr>
      <w:r w:rsidRPr="000B0EF3">
        <w:rPr>
          <w:rFonts w:ascii="Arial" w:hAnsi="Arial" w:cs="Arial"/>
          <w:b/>
          <w:kern w:val="0"/>
          <w14:ligatures w14:val="none"/>
        </w:rPr>
        <w:t>Zrušovací ustanovení</w:t>
      </w:r>
    </w:p>
    <w:p w14:paraId="58755DEB" w14:textId="77777777" w:rsidR="000B0EF3" w:rsidRPr="000B0EF3" w:rsidRDefault="000B0EF3" w:rsidP="000B0EF3">
      <w:pPr>
        <w:spacing w:after="120" w:line="276" w:lineRule="auto"/>
        <w:jc w:val="both"/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</w:pPr>
      <w:r w:rsidRPr="000B0EF3">
        <w:rPr>
          <w:rFonts w:ascii="Arial" w:hAnsi="Arial" w:cs="Arial"/>
          <w:kern w:val="0"/>
          <w14:ligatures w14:val="none"/>
        </w:rPr>
        <w:t>Zrušuje se obecně závazná vyhláška města Husinec č. 5/2025 o zákazu konzumace alkoholických nápojů na veřejně přístupném místě, ze dne 6.2.2025.</w:t>
      </w:r>
    </w:p>
    <w:p w14:paraId="29A0E992" w14:textId="77777777" w:rsidR="000B0EF3" w:rsidRPr="000B0EF3" w:rsidRDefault="000B0EF3" w:rsidP="000B0EF3">
      <w:pPr>
        <w:tabs>
          <w:tab w:val="left" w:pos="697"/>
          <w:tab w:val="left" w:pos="7020"/>
        </w:tabs>
        <w:spacing w:after="0" w:line="312" w:lineRule="auto"/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</w:pPr>
      <w:r w:rsidRPr="000B0EF3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ab/>
      </w:r>
    </w:p>
    <w:p w14:paraId="1D2D60C8" w14:textId="77777777" w:rsidR="000B0EF3" w:rsidRPr="000B0EF3" w:rsidRDefault="000B0EF3" w:rsidP="000B0EF3">
      <w:pPr>
        <w:tabs>
          <w:tab w:val="left" w:pos="540"/>
        </w:tabs>
        <w:spacing w:after="0" w:line="312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0B0EF3">
        <w:rPr>
          <w:rFonts w:ascii="Arial" w:eastAsia="Times New Roman" w:hAnsi="Arial" w:cs="Arial"/>
          <w:b/>
          <w:kern w:val="0"/>
          <w:lang w:eastAsia="cs-CZ"/>
          <w14:ligatures w14:val="none"/>
        </w:rPr>
        <w:t>Čl. 3</w:t>
      </w:r>
    </w:p>
    <w:p w14:paraId="70E68ADB" w14:textId="77777777" w:rsidR="000B0EF3" w:rsidRPr="000B0EF3" w:rsidRDefault="000B0EF3" w:rsidP="000B0EF3">
      <w:pPr>
        <w:tabs>
          <w:tab w:val="left" w:pos="540"/>
        </w:tabs>
        <w:spacing w:after="0" w:line="312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0B0EF3">
        <w:rPr>
          <w:rFonts w:ascii="Arial" w:eastAsia="Times New Roman" w:hAnsi="Arial" w:cs="Arial"/>
          <w:b/>
          <w:kern w:val="0"/>
          <w:lang w:eastAsia="cs-CZ"/>
          <w14:ligatures w14:val="none"/>
        </w:rPr>
        <w:t>Účinnost</w:t>
      </w:r>
    </w:p>
    <w:p w14:paraId="5769E839" w14:textId="77777777" w:rsidR="000B0EF3" w:rsidRPr="000B0EF3" w:rsidRDefault="000B0EF3" w:rsidP="000B0EF3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B0EF3">
        <w:rPr>
          <w:rFonts w:ascii="Arial" w:eastAsia="Times New Roman" w:hAnsi="Arial" w:cs="Arial"/>
          <w:kern w:val="0"/>
          <w:lang w:eastAsia="cs-CZ"/>
          <w14:ligatures w14:val="none"/>
        </w:rPr>
        <w:t>Tato obecně závazná vyhláška nabývá účinnosti počátkem patnáctého dne následujícího po dni jejího vyhlášení.</w:t>
      </w:r>
    </w:p>
    <w:p w14:paraId="14FEA581" w14:textId="77777777" w:rsidR="000B0EF3" w:rsidRPr="000B0EF3" w:rsidRDefault="000B0EF3" w:rsidP="000B0EF3">
      <w:pPr>
        <w:tabs>
          <w:tab w:val="left" w:pos="697"/>
          <w:tab w:val="left" w:pos="7020"/>
        </w:tabs>
        <w:spacing w:after="0" w:line="312" w:lineRule="auto"/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</w:pPr>
    </w:p>
    <w:p w14:paraId="082014B1" w14:textId="77777777" w:rsidR="000B0EF3" w:rsidRPr="000B0EF3" w:rsidRDefault="000B0EF3" w:rsidP="000B0EF3">
      <w:pPr>
        <w:tabs>
          <w:tab w:val="left" w:pos="6120"/>
        </w:tabs>
        <w:spacing w:after="0" w:line="312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1C68113" w14:textId="77777777" w:rsidR="000B0EF3" w:rsidRPr="000B0EF3" w:rsidRDefault="000B0EF3" w:rsidP="000B0EF3">
      <w:pPr>
        <w:tabs>
          <w:tab w:val="left" w:pos="6120"/>
        </w:tabs>
        <w:spacing w:after="0" w:line="312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7528746" w14:textId="77777777" w:rsidR="000B0EF3" w:rsidRPr="000B0EF3" w:rsidRDefault="000B0EF3" w:rsidP="000B0EF3">
      <w:pPr>
        <w:tabs>
          <w:tab w:val="left" w:pos="6120"/>
        </w:tabs>
        <w:spacing w:after="0" w:line="312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B0EF3">
        <w:rPr>
          <w:rFonts w:ascii="Arial" w:eastAsia="Times New Roman" w:hAnsi="Arial" w:cs="Arial"/>
          <w:kern w:val="0"/>
          <w:lang w:eastAsia="cs-CZ"/>
          <w14:ligatures w14:val="none"/>
        </w:rPr>
        <w:t xml:space="preserve">    …………………… </w:t>
      </w:r>
      <w:r w:rsidRPr="000B0EF3">
        <w:rPr>
          <w:rFonts w:ascii="Arial" w:eastAsia="Times New Roman" w:hAnsi="Arial" w:cs="Arial"/>
          <w:kern w:val="0"/>
          <w:lang w:eastAsia="cs-CZ"/>
          <w14:ligatures w14:val="none"/>
        </w:rPr>
        <w:tab/>
        <w:t xml:space="preserve">    …………………………</w:t>
      </w:r>
    </w:p>
    <w:p w14:paraId="441C6C4F" w14:textId="77777777" w:rsidR="000B0EF3" w:rsidRPr="000B0EF3" w:rsidRDefault="000B0EF3" w:rsidP="000B0EF3">
      <w:pPr>
        <w:tabs>
          <w:tab w:val="left" w:pos="180"/>
          <w:tab w:val="left" w:pos="6480"/>
        </w:tabs>
        <w:spacing w:after="0" w:line="312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B0EF3">
        <w:rPr>
          <w:rFonts w:ascii="Arial" w:eastAsia="Times New Roman" w:hAnsi="Arial" w:cs="Arial"/>
          <w:kern w:val="0"/>
          <w:lang w:eastAsia="cs-CZ"/>
          <w14:ligatures w14:val="none"/>
        </w:rPr>
        <w:tab/>
        <w:t>Jaroslav Maryška v.r.</w:t>
      </w:r>
      <w:r w:rsidRPr="000B0EF3">
        <w:rPr>
          <w:rFonts w:ascii="Arial" w:eastAsia="Times New Roman" w:hAnsi="Arial" w:cs="Arial"/>
          <w:kern w:val="0"/>
          <w:lang w:eastAsia="cs-CZ"/>
          <w14:ligatures w14:val="none"/>
        </w:rPr>
        <w:tab/>
        <w:t xml:space="preserve">Ludmila </w:t>
      </w:r>
      <w:proofErr w:type="gramStart"/>
      <w:r w:rsidRPr="000B0EF3">
        <w:rPr>
          <w:rFonts w:ascii="Arial" w:eastAsia="Times New Roman" w:hAnsi="Arial" w:cs="Arial"/>
          <w:kern w:val="0"/>
          <w:lang w:eastAsia="cs-CZ"/>
          <w14:ligatures w14:val="none"/>
        </w:rPr>
        <w:t>Pánková  v.r.</w:t>
      </w:r>
      <w:proofErr w:type="gramEnd"/>
    </w:p>
    <w:p w14:paraId="1173F169" w14:textId="77777777" w:rsidR="000B0EF3" w:rsidRPr="000B0EF3" w:rsidRDefault="000B0EF3" w:rsidP="000B0EF3">
      <w:pPr>
        <w:tabs>
          <w:tab w:val="left" w:pos="312"/>
          <w:tab w:val="left" w:pos="6974"/>
        </w:tabs>
        <w:spacing w:after="0" w:line="312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B0EF3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0B0EF3">
        <w:rPr>
          <w:rFonts w:ascii="Arial" w:eastAsia="Times New Roman" w:hAnsi="Arial" w:cs="Arial"/>
          <w:kern w:val="0"/>
          <w:lang w:eastAsia="cs-CZ"/>
          <w14:ligatures w14:val="none"/>
        </w:rPr>
        <w:tab/>
        <w:t>místostarosta</w:t>
      </w:r>
      <w:r w:rsidRPr="000B0EF3">
        <w:rPr>
          <w:rFonts w:ascii="Arial" w:eastAsia="Times New Roman" w:hAnsi="Arial" w:cs="Arial"/>
          <w:kern w:val="0"/>
          <w:lang w:eastAsia="cs-CZ"/>
          <w14:ligatures w14:val="none"/>
        </w:rPr>
        <w:tab/>
        <w:t>starostka</w:t>
      </w:r>
    </w:p>
    <w:p w14:paraId="28011366" w14:textId="77777777" w:rsidR="000B0EF3" w:rsidRPr="000B0EF3" w:rsidRDefault="000B0EF3" w:rsidP="000B0EF3">
      <w:pPr>
        <w:tabs>
          <w:tab w:val="left" w:pos="312"/>
          <w:tab w:val="left" w:pos="6974"/>
        </w:tabs>
        <w:spacing w:after="0" w:line="312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A6E6111" w14:textId="77777777" w:rsidR="00556CF8" w:rsidRDefault="00556CF8"/>
    <w:sectPr w:rsidR="00556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F98B0" w14:textId="77777777" w:rsidR="003A79C5" w:rsidRDefault="003A79C5" w:rsidP="000B0EF3">
      <w:pPr>
        <w:spacing w:after="0" w:line="240" w:lineRule="auto"/>
      </w:pPr>
      <w:r>
        <w:separator/>
      </w:r>
    </w:p>
  </w:endnote>
  <w:endnote w:type="continuationSeparator" w:id="0">
    <w:p w14:paraId="5C5116A8" w14:textId="77777777" w:rsidR="003A79C5" w:rsidRDefault="003A79C5" w:rsidP="000B0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E3B9C" w14:textId="77777777" w:rsidR="003A79C5" w:rsidRDefault="003A79C5" w:rsidP="000B0EF3">
      <w:pPr>
        <w:spacing w:after="0" w:line="240" w:lineRule="auto"/>
      </w:pPr>
      <w:r>
        <w:separator/>
      </w:r>
    </w:p>
  </w:footnote>
  <w:footnote w:type="continuationSeparator" w:id="0">
    <w:p w14:paraId="3437B61F" w14:textId="77777777" w:rsidR="003A79C5" w:rsidRDefault="003A79C5" w:rsidP="000B0EF3">
      <w:pPr>
        <w:spacing w:after="0" w:line="240" w:lineRule="auto"/>
      </w:pPr>
      <w:r>
        <w:continuationSeparator/>
      </w:r>
    </w:p>
  </w:footnote>
  <w:footnote w:id="1">
    <w:p w14:paraId="4C520A1E" w14:textId="77777777" w:rsidR="000B0EF3" w:rsidRDefault="000B0EF3" w:rsidP="000B0EF3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) § 2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písm.f</w:t>
      </w:r>
      <w:proofErr w:type="spellEnd"/>
      <w:r>
        <w:rPr>
          <w:rFonts w:ascii="Arial" w:hAnsi="Arial" w:cs="Arial"/>
          <w:sz w:val="18"/>
          <w:szCs w:val="18"/>
        </w:rPr>
        <w:t>)  zákona</w:t>
      </w:r>
      <w:proofErr w:type="gramEnd"/>
      <w:r>
        <w:rPr>
          <w:rFonts w:ascii="Arial" w:hAnsi="Arial" w:cs="Arial"/>
          <w:sz w:val="18"/>
          <w:szCs w:val="18"/>
        </w:rPr>
        <w:t xml:space="preserve"> č. 65/2017 Sb., </w:t>
      </w:r>
      <w:proofErr w:type="gramStart"/>
      <w:r>
        <w:rPr>
          <w:rFonts w:ascii="Arial" w:hAnsi="Arial" w:cs="Arial"/>
          <w:sz w:val="18"/>
          <w:szCs w:val="18"/>
        </w:rPr>
        <w:t>o  ochraně</w:t>
      </w:r>
      <w:proofErr w:type="gramEnd"/>
      <w:r>
        <w:rPr>
          <w:rFonts w:ascii="Arial" w:hAnsi="Arial" w:cs="Arial"/>
          <w:sz w:val="18"/>
          <w:szCs w:val="18"/>
        </w:rPr>
        <w:t xml:space="preserve"> zdraví před škodlivými účinky návykových látek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B115A"/>
    <w:multiLevelType w:val="hybridMultilevel"/>
    <w:tmpl w:val="5CA6C6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6259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EF3"/>
    <w:rsid w:val="000B0EF3"/>
    <w:rsid w:val="003A79C5"/>
    <w:rsid w:val="00556CF8"/>
    <w:rsid w:val="00721DA8"/>
    <w:rsid w:val="00B8141D"/>
    <w:rsid w:val="00EC3D77"/>
    <w:rsid w:val="00F7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8FA77"/>
  <w15:chartTrackingRefBased/>
  <w15:docId w15:val="{1D407FAB-BF71-49E2-87B5-8FFEC557E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B0E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B0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B0E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B0E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B0E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B0E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B0E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B0E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B0E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B0E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B0E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B0E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B0EF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B0EF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B0EF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B0EF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B0EF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B0EF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B0E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B0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B0E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B0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B0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B0EF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B0EF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B0EF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B0E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B0EF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B0EF3"/>
    <w:rPr>
      <w:b/>
      <w:bCs/>
      <w:smallCaps/>
      <w:color w:val="2F5496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B0EF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B0EF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Bernardová</dc:creator>
  <cp:keywords/>
  <dc:description/>
  <cp:lastModifiedBy>Iva Bernardová</cp:lastModifiedBy>
  <cp:revision>1</cp:revision>
  <dcterms:created xsi:type="dcterms:W3CDTF">2025-06-03T08:45:00Z</dcterms:created>
  <dcterms:modified xsi:type="dcterms:W3CDTF">2025-06-03T08:48:00Z</dcterms:modified>
</cp:coreProperties>
</file>